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LOHONYAI</w:t>
            </w:r>
          </w:p>
          <w:p w:rsidR="00C275A3" w:rsidRDefault="00A96AEC" w:rsidP="00C275A3">
            <w:pPr>
              <w:pStyle w:val="Hallgatokepzes"/>
            </w:pPr>
            <w:r>
              <w:t>MSc in Plant Medicine</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Marietta Petróczy, PhD</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László Palkovics, DSc</w:t>
            </w:r>
          </w:p>
          <w:p w:rsidR="00DB4822" w:rsidRDefault="00DB4822" w:rsidP="00E11062">
            <w:pPr>
              <w:pStyle w:val="Konzulensek"/>
            </w:pPr>
            <w:r w:rsidRPr="00DB4822">
              <w:t>professor, senior lecturer,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data to the sycamore anthracnose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Sycamore anthracnose is an increasing problem in Hungary. In Hungarian literatures mostly descriptions about symptoms and morphological characteristics are available, but data about colonies’ morphology were found only in one case in foreign sources. In the National Center for Biotechnology Information (NCBI) only two sequence data of foreign isolates’s are present in the ITS region.</w:t>
      </w:r>
      <w:r>
        <w:rPr>
          <w:color w:val="000000"/>
          <w:sz w:val="24"/>
          <w:szCs w:val="24"/>
        </w:rPr>
        <w:br/>
        <w:t xml:space="preserve">My aims were to assess the extent of damage, typify the morphological and culture characteristics of the pathogen, and to identify and characterize the fungal isolates with PCR based on the sequence of ITS (Internal Transcribed Spacer) region.</w:t>
      </w:r>
      <w:r>
        <w:rPr>
          <w:color w:val="000000"/>
          <w:sz w:val="24"/>
          <w:szCs w:val="24"/>
        </w:rPr>
        <w:br/>
        <w:t xml:space="preserve">I assessed the extent of damage to the investigation of shoots, leaves and woody parts around the Budai Arborétum and Feneketlen-tó in Budapest, and two widely separated places in Székesfehérvár. The most serious infestation was observed on the older London plane in Székesfehérvár.</w:t>
      </w:r>
      <w:r>
        <w:rPr>
          <w:color w:val="000000"/>
          <w:sz w:val="24"/>
          <w:szCs w:val="24"/>
        </w:rPr>
        <w:br/>
        <w:t xml:space="preserve">Samples were collected on the set places to further identification. The pathogen was isolated on PDA culture medium, then the pathogenic potential of isolates was verified with pathogenicity tests. Isolates were firstly identified and described on the score of morphological and culture characteristics. Anamorphic stage of Apiognomonia veneta produce unicellular, hyaline, egg- or lemon-shaped conidia in grey, oval acervuli developed at the lower surface of the leaves. The pure culture of Apiogonomonia veneta is regular circle shaped on the PDA medium. The back side of colony is light tawny in colour, the upper side is white in colour. Colonies produced white aerial mycelia. In the colonies concentric zones were observed. Around the inoculation point usually brownish, blackish initial fruiting bodies appeared.</w:t>
      </w:r>
      <w:r>
        <w:rPr>
          <w:color w:val="000000"/>
          <w:sz w:val="24"/>
          <w:szCs w:val="24"/>
        </w:rPr>
        <w:br/>
        <w:t xml:space="preserve">Total nucleic acid was extracted from pure cultures for molecular identification, then a part of ITS region was multiplied by ITS4 and ITS5 universal primers. The sequences of PCR products were determined, and compared with sequences from NCBI. Our isolates showed 99% homology with the sequences of two other Apiognomonia veneta isolates (DQ994610, DQ994611). On phylogenetic tree Apiognomonia veneta isolates are separated with 100% bootstrap value from the other two Apiognomonia sepcies. We sent nucleotide sequence of our isolates to the NCBI, which are the first European data about pathogen’s ITS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46475">
    <w:multiLevelType w:val="hybridMultilevel"/>
    <w:lvl w:ilvl="0" w:tplc="79111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46475">
    <w:abstractNumId w:val="27146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954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