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PAPP</w:t>
            </w:r>
          </w:p>
          <w:p w:rsidR="00C275A3" w:rsidRDefault="00A96AEC" w:rsidP="00C275A3">
            <w:pPr>
              <w:pStyle w:val="Hallgatokepzes"/>
            </w:pPr>
            <w:r>
              <w:t>Plant Protection</w:t>
            </w:r>
            <w:r>
              <w:br/>
            </w:r>
            <w:r w:rsidR="00E77B23">
              <w:t>MSc, 2.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Marietta Petróczy</w:t>
            </w:r>
          </w:p>
          <w:p w:rsidR="00DB4822" w:rsidRDefault="00DB4822" w:rsidP="009763E0">
            <w:pPr>
              <w:pStyle w:val="Konzulensektitulus"/>
            </w:pPr>
            <w:r w:rsidRPr="00DB4822">
              <w:t>assistant professor, BCE KERTK</w:t>
            </w:r>
          </w:p>
        </w:tc>
      </w:tr>
      <w:tr w:rsidR="00DB4822" w:rsidTr="00DB4822">
        <w:tc>
          <w:tcPr>
            <w:tcW w:w="9854" w:type="dxa"/>
          </w:tcPr>
          <w:p w:rsidR="00DB4822" w:rsidRPr="00DB4822" w:rsidRDefault="00DB4822" w:rsidP="009763E0">
            <w:pPr>
              <w:pStyle w:val="Konzulenseknev"/>
            </w:pPr>
            <w:r w:rsidRPr="00DB4822">
              <w:t>Anna Lantos</w:t>
            </w:r>
          </w:p>
          <w:p w:rsidR="00DB4822" w:rsidRDefault="00DB4822" w:rsidP="009763E0">
            <w:pPr>
              <w:pStyle w:val="Konzulensektitulus"/>
            </w:pPr>
            <w:r w:rsidRPr="00DB4822">
              <w:t>PhD student, BCE KERTK</w:t>
            </w:r>
          </w:p>
        </w:tc>
      </w:tr>
      <w:tr w:rsidR="00DB4822" w:rsidTr="00DB4822">
        <w:tc>
          <w:tcPr>
            <w:tcW w:w="9854" w:type="dxa"/>
          </w:tcPr>
          <w:p w:rsidR="00DB4822" w:rsidRPr="00DB4822" w:rsidRDefault="00DB4822" w:rsidP="009763E0">
            <w:pPr>
              <w:pStyle w:val="Konzulenseknev"/>
            </w:pPr>
            <w:r w:rsidRPr="00DB4822">
              <w:t>Dr. László Palkovics</w:t>
            </w:r>
          </w:p>
          <w:p w:rsidR="00DB4822" w:rsidRDefault="00DB4822" w:rsidP="009763E0">
            <w:pPr>
              <w:pStyle w:val="Konzulensektitulus"/>
            </w:pPr>
            <w:r w:rsidRPr="00DB4822">
              <w:t>professor, head of Department,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Caracterization and fungicide sensitivity of Monilinia linhartiana isolates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Disease caused by the fungus Monilinia linhartiana is one of the most important diseases of quince, which causes shoot blight and young fruit mummification. In my study I examined the morphological and culture characteristics of the fungus, I identified the fungal isolates with molecular method and I analysed in vitro effectiveness of the fungicides against the pathogen.</w:t>
      </w:r>
      <w:r>
        <w:rPr>
          <w:color w:val="000000"/>
          <w:sz w:val="24"/>
          <w:szCs w:val="24"/>
        </w:rPr>
        <w:br/>
        <w:t xml:space="preserve">The pathogen was isolated from four locations: Siófok and Harkány in May of 2013 and Kecskemét and Kelenvölgy in May of 2014. The pathogen was cultured on PDA, LMA and MEA media and the pathogeniticy of isolates was verified. Firstly we identified the species on the strength of morphological and cultural characteristics and the nucleic acid based molecular methods were carried out as well. The molecular studies based on the analysis of the sequences of the ITS region and the β-tubulin gene. We also analysed the genetic diversity of the genus, compared with other Monilinia species from the NCBI database. We applied 19 fungicides to test the efficacy of the field dose and the ten-fold dilution of it. The mycelial growth was examined by poisoned agar plate method.</w:t>
      </w:r>
      <w:r>
        <w:rPr>
          <w:color w:val="000000"/>
          <w:sz w:val="24"/>
          <w:szCs w:val="24"/>
        </w:rPr>
        <w:br/>
        <w:t xml:space="preserve">The first symptoms appeared on the leaves. Suddenly they started to turn brown, later the whole leaf died and a greyish coverage appeared on the upper surface, which it typically caused by the conidial chains of the Monilinia genus. We observed disjunctors between the conidia as typical characters of the Disjunctoriae sub-group. The pathogen was easily culturable on all of the media.</w:t>
      </w:r>
      <w:r>
        <w:rPr>
          <w:color w:val="000000"/>
          <w:sz w:val="24"/>
          <w:szCs w:val="24"/>
        </w:rPr>
        <w:br/>
        <w:t xml:space="preserve">Very low variability was observed in the ITS region. The sequences of our M. linhartiana isolates showed the closest neighbourhood with M. amelanchieris and M. mali. To our knowledge we published the first data of the β-tubulin gene.</w:t>
      </w:r>
      <w:r>
        <w:rPr>
          <w:color w:val="000000"/>
          <w:sz w:val="24"/>
          <w:szCs w:val="24"/>
        </w:rPr>
        <w:br/>
        <w:t xml:space="preserve">Out of the efficacy assays the best results were obtained with Antracol 70 WG, WP Captan50, Max Flint, Folicur Solo Mirage 45EC, Orius 20 EW, Systhane Duplo, Teldor 500 SC, Topas 100 EC, Topsin -M 70 WDG. Copper sulphate, copper hydroxide, copper(I)oxide and copperoxicloride agents proved ineffective in ten-fold dilution. Mycelial growth of Monilinia linhartiana was weakly inhibited by the fungicides with active ingredients from the strobilurin group.</w:t>
      </w:r>
      <w:r>
        <w:rPr>
          <w:color w:val="000000"/>
          <w:sz w:val="24"/>
          <w:szCs w:val="24"/>
        </w:rPr>
        <w:br/>
        <w:t xml:space="preserve">As the result of our work, we utilized classical mycological and molecular methods to develop the knowledge about Monilinia linhartiana. We published sequences of a rarely studied species and added new information for the plant protection of the quince orchards.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18120">
    <w:multiLevelType w:val="hybridMultilevel"/>
    <w:lvl w:ilvl="0" w:tplc="86107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18120">
    <w:abstractNumId w:val="82518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832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