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MEGGYES RITA</w:t>
            </w:r>
          </w:p>
          <w:p w:rsidR="00C275A3" w:rsidRDefault="00A96AEC" w:rsidP="00C275A3">
            <w:pPr>
              <w:pStyle w:val="Hallgatokepzes"/>
            </w:pPr>
            <w:r>
              <w:t>Pénzügy és számvitel szak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Zéman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Intézet igazgató,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pénz szerepe, funkciói és formái a XXI. században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pénz; monetáris aggregátum; GDP; Infláció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2008-as világgazdasági válság után kiemelten fontos szerepet kapott az egyes gazdaságok pénzügyi stabilitásának megőrzésében, illetve visszaállításában a nemzeti bankok monetáris politikája. Ennek részeként az egyes pénzaggregátumok szabályozása is előtérbe került, így a pénzmennyiség kategóriák változásán keresztül követhetővé váltak a monetáris politikai stratégia keretében meghatározott célok és intézkedések. Az országok gazdasági jellemzéséhez használt mutatószámok, mint például a bruttó hazai termék értékének, vagy az infláció mértékének alakulásán is tapasztalható volt a válság hatása. Ezeknek a mutatóknak az értéke képezi minden nemzetgazdasági elemzés magját, azonban az egyes pénzmennyiség kategóriák értéke, aránya, az említett mutatók egy százalékos változásának hatása a monetáris bázisra és a tágan értelmezett pénzmennyiségre, eddig nem kerültek az előtérbe a kutatások során.</w:t>
      </w:r>
      <w:r>
        <w:rPr>
          <w:color w:val="000000"/>
          <w:sz w:val="24"/>
          <w:szCs w:val="24"/>
        </w:rPr>
        <w:br/>
        <w:t xml:space="preserve">A pénz fogalmának meghatározásán, az eredetét magyarázó elméletek összegzésén és a pénzügyi rendszer felépítésén túl, a pénz típusainak ismertetése, a készpénzes és a készpénz nélküli fizetési forgalom bemutatása kapott jelentősebb szerepet a pályamunkában. A kontrollcsoport tagjait képező országok földrajzi és gazdasági jellemzése mellett, az M0, M3 (M4) pénzmennyiség kategóriák változása is kiemelt részét képezte a kutatásnak. Az elemzés során olyan mutatószámok alkalmazására volt szükség, amely elkerüli a valuták átváltásából adódó eltéréseket, torzításokat és az adott szereplők gazdasági teljesítményét is figyelembe veszi. Ennek tükrében az egyes mutatószámoknak egymással összehasonlíthatóaknak kellett lenniük, ezért a számítások végeztével az eredmények azonosan, százalékos formában jelentek meg. Ennek köszönhetően a számított eredmények ábrázolása egy grafikonon is lehetséges volt, így az egyes országok közti különbségek láthatóvá, egymáshoz viszonyíthatóvá váltak. A következtetések megfogalmazása során az általam képzett mutatók egymáshoz való viszonyát, az azok közt észlelhető arányosságokat vizsgáltam, majd a számítások alapján megjelenő információk birtokában öt következtetésre jutottam.</w:t>
      </w:r>
      <w:r>
        <w:rPr>
          <w:color w:val="000000"/>
          <w:sz w:val="24"/>
          <w:szCs w:val="24"/>
        </w:rPr>
        <w:br/>
        <w:t xml:space="preserve">A számítások, az elemzés és következtetések tekintetében egyértelműen látszanak az eredményeken Svédország határozott készpénzkínálat szűkítő lépései. Ezek a kontrollcsoport tagjaihoz képest az egyes tendenciák ellentétes megjelenésében tükröződnek, illetve az arányosságok fordított megjelenésében.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435505">
    <w:multiLevelType w:val="hybridMultilevel"/>
    <w:lvl w:ilvl="0" w:tplc="15607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435505">
    <w:abstractNumId w:val="704355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63206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