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MEGGYES</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Zéman Phd.</w:t>
            </w:r>
          </w:p>
          <w:p w:rsidR="00DB4822" w:rsidRDefault="00DB4822" w:rsidP="00E11062">
            <w:pPr>
              <w:pStyle w:val="Konzulensek"/>
            </w:pPr>
            <w:r w:rsidRPr="00DB4822">
              <w:t>Director of the Institue,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functions and types of money in the XXI. century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money; monetary aggregates; GDP; Inflation rate</w:t>
      </w:r>
      <w:r>
        <w:t xml:space="preserve"/>
      </w:r>
    </w:p>
    <w:p>
      <w:pPr>
        <w:widowControl w:val="on"/>
        <w:pBdr/>
        <w:spacing w:before="240" w:after="240" w:line="240" w:lineRule="auto"/>
        <w:ind w:left="0" w:right="0"/>
        <w:jc w:val="left"/>
      </w:pPr>
      <w:r>
        <w:rPr>
          <w:color w:val="000000"/>
          <w:sz w:val="24"/>
          <w:szCs w:val="24"/>
        </w:rPr>
        <w:t xml:space="preserve">After the global economic crisis in 2008 the monetary policy of national banks in certain economies got a priority role in preserving and restoring financial stability. As part of this process, the regulation of monetary aggregates came to the fore, so through the changes in the value of monetary aggregates the objectives and actions in the framework of the monetary policy strategy became traceable. While analysing country level economic indicators, such as the value of the Gross Domestic Product, or the changes in the level of inflation, the effects of the crises have been clear.</w:t>
      </w:r>
      <w:r>
        <w:rPr>
          <w:color w:val="000000"/>
          <w:sz w:val="24"/>
          <w:szCs w:val="24"/>
        </w:rPr>
        <w:br/>
        <w:t xml:space="preserve">The value of these indicators form the core of all nation’s economic analysis, however the value and the ratio of monetary aggregates and the impact of one percentage change of mentioned indicators on the monetary base and the broadly defined money supply have not been in the forefront of research.</w:t>
      </w:r>
      <w:r>
        <w:rPr>
          <w:color w:val="000000"/>
          <w:sz w:val="24"/>
          <w:szCs w:val="24"/>
        </w:rPr>
        <w:br/>
        <w:t xml:space="preserve">In addition to defining the concept of money, summarising the theories explaining its origins and the structure of the financial system the description of the types of money, and the presentation of the cash and non-cash payments received major role in the course work. In addition to geographic and economic characterization of countries, which are members of the control group, changes in the M0, M3 (M4) monetary categories were also highlighted in the research. In the analysis, it was needed to apply indicators with which differences due to the currency exchange risk and biases can be avoided, and economic performance of the countries can be taken into account. Because of the abovementioned criteria the indicators had to be made comparable to each other, therefore when the calculations were complete, the results appeared in the same way, as a percentage. As a result, it was possible to represent the calculated results on a chart, so the differencies between the countries became visible and comparable. While drafting the conclusions of the relationship between the indicators, I analyzed the observed proportionality between them, and based on the information from the calculations I drew five conclusions. After the the calculations, the analysis and the conclusions the cash supply tightening steps taken by Sweden became clearly visible on the results. These, compared to the countrol group members, appear in adverse tendencies and the inverse proportionality.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10836">
    <w:multiLevelType w:val="hybridMultilevel"/>
    <w:lvl w:ilvl="0" w:tplc="18372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10836">
    <w:abstractNumId w:val="34410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5472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