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ULRICH</w:t>
            </w:r>
          </w:p>
          <w:p w:rsidR="00C275A3" w:rsidRDefault="00A96AEC" w:rsidP="00C275A3">
            <w:pPr>
              <w:pStyle w:val="Hallgatokepzes"/>
            </w:pPr>
            <w:r>
              <w:t>Regional and Environmental Economic Studies</w:t>
            </w:r>
            <w:r>
              <w:br/>
            </w:r>
            <w:r w:rsidR="00E77B23">
              <w:t>MA, 5.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Krisztián Ritter</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Berettyóújfalu’s settlement marketing and its subregional effects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Regional and settlement marketing; Berettyóújfalu; The healthy city; The subregion of Berettyóújfalu; Cooperative and development potentials</w:t>
      </w:r>
      <w:r>
        <w:t xml:space="preserve"/>
      </w:r>
    </w:p>
    <w:p>
      <w:pPr>
        <w:widowControl w:val="on"/>
        <w:pBdr/>
        <w:spacing w:before="240" w:after="240" w:line="240" w:lineRule="auto"/>
        <w:ind w:left="0" w:right="0"/>
        <w:jc w:val="left"/>
      </w:pPr>
      <w:r>
        <w:rPr>
          <w:color w:val="000000"/>
          <w:sz w:val="24"/>
          <w:szCs w:val="24"/>
        </w:rPr>
        <w:t xml:space="preserve">Regional and settlement marketing play more and more decisive role from the point of view of the imporving competitiveness. Application as a strategy has more weight in the tool of regional develeopment therefore I believe by the reason of the actuality and the importance of this topic it is worth studying.</w:t>
      </w:r>
      <w:r>
        <w:rPr>
          <w:color w:val="000000"/>
          <w:sz w:val="24"/>
          <w:szCs w:val="24"/>
        </w:rPr>
        <w:br/>
        <w:t xml:space="preserve">During my research I analysed the structure of Berettyóújfalu ’s settlement marketing activity and its subregional effects. My goal was to examine Berettyóújfalu and its subregional connects from the viewpoint of combined development potentials and the presentation from the aspect of regional and settlement marketing. In the course of my work I have used different kind of methods. These include the demonstration of Berettyóújfalu and its subregion’s economic and societal processes by statistical datas, the preparation of Goda-type „spider-web” model to the subregion, analysis with different kind of specific geographical methods and a questionnaire survey among the mayors of the subregion.</w:t>
      </w:r>
      <w:r>
        <w:rPr>
          <w:color w:val="000000"/>
          <w:sz w:val="24"/>
          <w:szCs w:val="24"/>
        </w:rPr>
        <w:br/>
        <w:t xml:space="preserve">According to my research based on primer and secunder information it can be said that Berettyóújfalu itself compared to the county and the subregion performs well, not below the national average, unfortunately it can’t be claimed about the subregion. It has been observed that the state of infrastructure and the society is just appropriate, however the environment the local economy and the tourism lagging behind, those areas need to be intervendted.</w:t>
      </w:r>
      <w:r>
        <w:rPr>
          <w:color w:val="000000"/>
          <w:sz w:val="24"/>
          <w:szCs w:val="24"/>
        </w:rPr>
        <w:br/>
        <w:t xml:space="preserve">The spatial arrangement of the subregion is scattered which makes difficult to form and maintain close relations particularly in the field of transportation and economy. Berettyóújfalu is not the only town which has formed attraction space around itself.</w:t>
      </w:r>
      <w:r>
        <w:rPr>
          <w:color w:val="000000"/>
          <w:sz w:val="24"/>
          <w:szCs w:val="24"/>
        </w:rPr>
        <w:br/>
        <w:t xml:space="preserve">The action-orentation and the willingness of develeopment of the settlements can be seen. It is reflected by the fact that in the last couple of years every responder settlement has had infrastructural, tourist, human or economic development The majority of mayors think there is a possibility to connenct the programs of tourists arrive in Berettyóújfalu with theirs, but at the same time they feel not receiving enough from Berettyóújfalu’s tourism growth. The settlements of the subregion feel weaker relationship with the center that would be expected by the statistics.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69891">
    <w:multiLevelType w:val="hybridMultilevel"/>
    <w:lvl w:ilvl="0" w:tplc="17155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69891">
    <w:abstractNumId w:val="52869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251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