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VÍGH ÁDÁM</w:t>
            </w:r>
          </w:p>
          <w:p w:rsidR="00C275A3" w:rsidRDefault="00A96AEC" w:rsidP="00C275A3">
            <w:pPr>
              <w:pStyle w:val="Hallgatokepzes"/>
            </w:pPr>
            <w:r>
              <w:t>Létesítménymérnöki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Ferenc</w:t>
            </w:r>
          </w:p>
          <w:p w:rsidR="00DB4822" w:rsidRDefault="00DB4822" w:rsidP="00E11062">
            <w:pPr>
              <w:pStyle w:val="Konzulensek"/>
            </w:pPr>
            <w:r w:rsidRPr="00DB4822">
              <w:t>f.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komfortkategóriájú irodaépületek energetikai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közölt számítási eredmények az energetikai tanúsítási gyakorlattól eltérően nem az épület egészére terjedtek ki, hanem egy - egy helyiségre az épületen belül. A különböző helyiségek külső környezettel határos szerkezeteinek eltérő geometriája jelentősen befolyásolja a belső környezet paramétereit. Tehát különböző mértékű energia befektetéssel lehet fenntartani a helyiségekben egységesen a legmagasabb fokú elvárásnak megfelelő komfortkategóriákat. Tehát a helyiségek elhelyezkedése az épületen belül befolyással van: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Az elhelyezkedés határoló szerkezetek belső felületeinek eltérő nagysága miatt és az eltérő mértékű vonal menti hőhidak miatt befolyással van a hőveszteségekre</w:t>
      </w:r>
      <w:r>
        <w:rPr>
          <w:color w:val="000000"/>
          <w:sz w:val="24"/>
          <w:szCs w:val="24"/>
        </w:rPr>
        <w:br/>
        <w:t xml:space="preserve">- A fűtési határ hőmérsékletekre</w:t>
      </w:r>
      <w:r>
        <w:rPr>
          <w:color w:val="000000"/>
          <w:sz w:val="24"/>
          <w:szCs w:val="24"/>
        </w:rPr>
        <w:br/>
        <w:t xml:space="preserve">- A szükséges fűtési energia igényre</w:t>
      </w:r>
      <w:r>
        <w:rPr>
          <w:color w:val="000000"/>
          <w:sz w:val="24"/>
          <w:szCs w:val="24"/>
        </w:rPr>
        <w:br/>
        <w:t xml:space="preserve">- A közepes sugárzási hőmérsékletre és az operatív hőmérsékletre a helyiségekben</w:t>
      </w:r>
      <w:r>
        <w:rPr>
          <w:color w:val="000000"/>
          <w:sz w:val="24"/>
          <w:szCs w:val="24"/>
        </w:rPr>
        <w:br/>
        <w:t xml:space="preserve">- A belső levegő szükséges hőmérsékletére a helyiségekben</w:t>
      </w:r>
      <w:r>
        <w:rPr>
          <w:color w:val="000000"/>
          <w:sz w:val="24"/>
          <w:szCs w:val="24"/>
        </w:rPr>
        <w:br/>
        <w:t xml:space="preserve">- A felhasznált fűtési energiára a helyiségekben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feltételezett energetikai felújítások eltérő energetikai szabályozási rendszereken alapultak. Ez alapján megállapítható, hogy a jelenleg érvényben lévő szabályozás szerinti felújítások is jelentősen, akár helyiségenkénti átlagban akár 60%-al is csökkentik a helyiségek energiaigényét. Viszont a közel nulla energiafogyasztás követelményei alapján történő felújítás, a jelenlegivel összevetve, helyiségenkénti átlagban, mintegy 30%-os energiaigény csökkenést eredményez.</w:t>
      </w:r>
      <w:r>
        <w:rPr>
          <w:color w:val="000000"/>
          <w:sz w:val="24"/>
          <w:szCs w:val="24"/>
        </w:rPr>
        <w:br/>
        <w:t xml:space="preserve">A komfortkategóriák vizsgálatából kiderült, hogy egy közepes szintnek megfelelő komfortkategória lehetséges egy gyenge hőtechnikai jellemzőkkel rendelkező épületben is. A számításokból kiderült, hogy ehhez rendkívül nagy fűtési energia befektetésre van szükség. Az energetikai felújításokkal javult a helyiségek komfortminősége, mert a számított közepes sugárzási hőmérséklet magasabb az épületszerkezetek jobb hőátbocsátási tényezője miatt. Viszont érdemes tisztázni azt, hogy a legmagasabb komfortkategóriához szükséges minimális energia befektetést akkor érhető el, ha az operatív hőmérséklet a szabvány által megadott tartomány legalacsonyabb értéke, így lehetséges az alacsonyabb belső hőmérséklet tartása a helyiségekben. A dolgozat utolsó fejezeteiben lévő számítások egyértelműen arra világítanak rá, hogy ha ezt figyelembe vesszük, akkor az energetikai felújítások után még néhány százalékkal csökkenthető a fűtési energiaigény.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64424">
    <w:multiLevelType w:val="hybridMultilevel"/>
    <w:lvl w:ilvl="0" w:tplc="40293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64424">
    <w:abstractNumId w:val="19264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74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