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VIGH</w:t>
            </w:r>
          </w:p>
          <w:p w:rsidR="00C275A3" w:rsidRDefault="00A96AEC" w:rsidP="00C275A3">
            <w:pPr>
              <w:pStyle w:val="Hallgatokepzes"/>
            </w:pPr>
            <w:r>
              <w:t>Construction Engineer</w:t>
            </w:r>
            <w:r>
              <w:br/>
            </w:r>
            <w:r w:rsidR="00E77B23">
              <w:t>MSc,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Kalmar PhD</w:t>
            </w:r>
          </w:p>
          <w:p w:rsidR="00DB4822" w:rsidRDefault="00DB4822" w:rsidP="00E11062">
            <w:pPr>
              <w:pStyle w:val="Konzulensek"/>
            </w:pPr>
            <w:r w:rsidRPr="00DB4822">
              <w:t>college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analysis of the different comfort categories of office buildings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work energy and thermal comfort calculations were performed and analysed for different rooms of an office building. The geometry of closing elements has a strong influence on the obtained indoor microclimate in different rooms. Due to this, the indoor environment parameters that are required by uppermost comfort category prescriptions with different quantities of energy investments. As a conclusion it can be established that the location of a closed space in a building affects:</w:t>
      </w:r>
    </w:p>
    <w:p>
      <w:pPr>
        <w:widowControl w:val="on"/>
        <w:pBdr/>
        <w:spacing w:before="240" w:after="240" w:line="240" w:lineRule="auto"/>
        <w:ind w:left="0" w:right="0"/>
        <w:jc w:val="left"/>
      </w:pPr>
      <w:r>
        <w:rPr>
          <w:color w:val="000000"/>
          <w:sz w:val="24"/>
          <w:szCs w:val="24"/>
        </w:rPr>
        <w:br/>
        <w:t xml:space="preserve">- the heat loss, due to different areas of external building elements and different linear thermal bridges;</w:t>
      </w:r>
      <w:r>
        <w:rPr>
          <w:color w:val="000000"/>
          <w:sz w:val="24"/>
          <w:szCs w:val="24"/>
        </w:rPr>
        <w:br/>
        <w:t xml:space="preserve">- the balance point temperature of the room;</w:t>
      </w:r>
      <w:r>
        <w:rPr>
          <w:color w:val="000000"/>
          <w:sz w:val="24"/>
          <w:szCs w:val="24"/>
        </w:rPr>
        <w:br/>
        <w:t xml:space="preserve">- the energy demand for heating;</w:t>
      </w:r>
      <w:r>
        <w:rPr>
          <w:color w:val="000000"/>
          <w:sz w:val="24"/>
          <w:szCs w:val="24"/>
        </w:rPr>
        <w:br/>
        <w:t xml:space="preserve">- the mean radiant temperature and the operative temperature in the room;</w:t>
      </w:r>
      <w:r>
        <w:rPr>
          <w:color w:val="000000"/>
          <w:sz w:val="24"/>
          <w:szCs w:val="24"/>
        </w:rPr>
        <w:br/>
        <w:t xml:space="preserve">- the required indoor air temperature in the room;</w:t>
      </w:r>
      <w:r>
        <w:rPr>
          <w:color w:val="000000"/>
          <w:sz w:val="24"/>
          <w:szCs w:val="24"/>
        </w:rPr>
        <w:br/>
        <w:t xml:space="preserve">- the energy use for heating in the room.</w:t>
      </w:r>
    </w:p>
    <w:p>
      <w:pPr>
        <w:widowControl w:val="on"/>
        <w:pBdr/>
        <w:spacing w:before="240" w:after="240" w:line="240" w:lineRule="auto"/>
        <w:ind w:left="0" w:right="0"/>
        <w:jc w:val="left"/>
      </w:pPr>
      <w:r>
        <w:rPr>
          <w:color w:val="000000"/>
          <w:sz w:val="24"/>
          <w:szCs w:val="24"/>
        </w:rPr>
        <w:br/>
        <w:t xml:space="preserve">The building refurbishment measures assumed are based on different regulations related to energy quality of buildings. According to the written subjects established that, that refurbishing the building according to the present requirements the energy use for heating in different rooms can be decreased by 60%. Refurbishing the building according to nearly zero energy requirements the energy use for heating will decrease further with 30%.</w:t>
      </w:r>
      <w:r>
        <w:rPr>
          <w:color w:val="000000"/>
          <w:sz w:val="24"/>
          <w:szCs w:val="24"/>
        </w:rPr>
        <w:br/>
        <w:t xml:space="preserve">Analysing the influence of comfort category requirement shows that the “B” category can be fulfilled even with poor thermal properties of the building envelope, even though a huge amount of energy is needed. After thermal refurbishment of the building, the temperatures of internal surfaces of external building elements increased, therefore the comfort quality of the building increased, since the mean radiant temperature obtained is higher due to better overall heat transfer coefficient of external building elements. As a consequence the same operative temperature can be obtained with a lower indoor air temperature. Of course, the highest energy saving can be obtained in that case in which the lowest possible operative temperature is kept, which fulfils the requirements of comfort regulations. The last part of performed research shows that further energy saving can be obtained if this possibility given by standards is properly exploited.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9135">
    <w:multiLevelType w:val="hybridMultilevel"/>
    <w:lvl w:ilvl="0" w:tplc="25980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9135">
    <w:abstractNumId w:val="23589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69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