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PETRANYI</w:t>
            </w:r>
          </w:p>
          <w:p w:rsidR="00C275A3" w:rsidRDefault="00A96AEC" w:rsidP="00C275A3">
            <w:pPr>
              <w:pStyle w:val="Hallgatokepzes"/>
            </w:pPr>
            <w:r>
              <w:t>environmental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Boros</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Microbiological analysis of greywater samples by test kits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Interest in reuse of different wastewater fractions has increased in recent years by reason of the increasing of water demand and shortage due to low rainfall. Several research focus on the study for possibilities of greywater reuse and greywater treating systems. However the characteristics of greywater samples can show great variability, either these are from the same sources.</w:t>
      </w:r>
      <w:r>
        <w:rPr>
          <w:color w:val="000000"/>
          <w:sz w:val="24"/>
          <w:szCs w:val="24"/>
        </w:rPr>
        <w:br/>
        <w:t xml:space="preserve">In this study the microbiological quality of greywater samples from the region of Northeastern Hungary was analysed. Beyond microbiological quality I measured dissolved organic carbon (DOC), biochemical oxygen demand (BOD), turbidity, pH, redox potential, salinity, and specific conductivity parameters.</w:t>
      </w:r>
      <w:r>
        <w:rPr>
          <w:color w:val="000000"/>
          <w:sz w:val="24"/>
          <w:szCs w:val="24"/>
        </w:rPr>
        <w:br/>
        <w:t xml:space="preserve">The bacterial load of the samples were between 10</w:t>
      </w:r>
      <w:r>
        <w:rPr>
          <w:color w:val="000000"/>
          <w:position w:val="4"/>
          <w:sz w:val="21"/>
          <w:szCs w:val="21"/>
          <w:vertAlign w:val="superscript"/>
        </w:rPr>
        <w:t xml:space="preserve">5</w:t>
      </w:r>
      <w:r>
        <w:rPr>
          <w:color w:val="000000"/>
          <w:sz w:val="24"/>
          <w:szCs w:val="24"/>
        </w:rPr>
        <w:t xml:space="preserve"> and 10</w:t>
      </w:r>
      <w:r>
        <w:rPr>
          <w:color w:val="000000"/>
          <w:position w:val="4"/>
          <w:sz w:val="21"/>
          <w:szCs w:val="21"/>
          <w:vertAlign w:val="superscript"/>
        </w:rPr>
        <w:t xml:space="preserve">6</w:t>
      </w:r>
      <w:r>
        <w:rPr>
          <w:color w:val="000000"/>
          <w:sz w:val="24"/>
          <w:szCs w:val="24"/>
        </w:rPr>
        <w:t xml:space="preserve"> CFU/ml. Generally, I can say that if the organic content was higher in the greywater samples, the total count and coliform bacteria count was also higher.</w:t>
      </w:r>
      <w:r>
        <w:rPr>
          <w:color w:val="000000"/>
          <w:sz w:val="24"/>
          <w:szCs w:val="24"/>
        </w:rPr>
        <w:br/>
        <w:t xml:space="preserve">E. coli contamination was high in the greywater from bath (2.5 log10CFU/ml), but in some samples from washing and dishwashing water I also revealed E. coli contamination.</w:t>
      </w:r>
      <w:r>
        <w:rPr>
          <w:color w:val="000000"/>
          <w:sz w:val="24"/>
          <w:szCs w:val="24"/>
        </w:rPr>
        <w:br/>
        <w:t xml:space="preserve">On investigation I found that treatment before greywater reuse is essential because of the high microbial and organic content.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89989">
    <w:multiLevelType w:val="hybridMultilevel"/>
    <w:lvl w:ilvl="0" w:tplc="30800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89989">
    <w:abstractNumId w:val="19989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869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