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CSEH ANDREA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GÁSPÁR ANDRÁS</w:t>
            </w:r>
          </w:p>
          <w:p w:rsidR="00DB4822" w:rsidRDefault="00C275A3" w:rsidP="004D7940">
            <w:pPr>
              <w:pStyle w:val="Hallgatokepzes"/>
            </w:pPr>
            <w:r>
              <w:t>Kereskedelem és marketing</w:t>
            </w:r>
            <w:r w:rsidR="00A96AEC">
              <w:br/>
              <w:t>BA, 7. félév</w:t>
            </w:r>
          </w:p>
          <w:p w:rsidR="00DB4822" w:rsidRDefault="00DB4822" w:rsidP="004D7940">
            <w:pPr>
              <w:pStyle w:val="Hallgatointezmeny-kar"/>
            </w:pPr>
            <w:r>
              <w:t>Nyugat-magyarországi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Közgazdaságtudományi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EDINA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Iszak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NYME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Generációk, márkák és célcsoportok a mainstream sörpiacon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sörpiaci trendek; márkák; etnográfia; generációk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Régóta foglalkoztat minket a kérdéskör, hogy mi motiválja az embereket sörfogyasztáskor, mi alapján választanak a piacon jelenlévő több tucat gyártó márkái és termékei közül, mennyire befolyásolóak azon tényezők, mint az ár, az akciók, a csomagolás, és melyek azok az egyéb, olykor rejtett, nehezen feltárható motivációk és élmények, melyek szintén az adott termék melletti döntést segítik elő.</w:t>
      </w:r>
      <w:r>
        <w:rPr>
          <w:color w:val="000000"/>
          <w:sz w:val="24"/>
          <w:szCs w:val="24"/>
        </w:rPr>
        <w:br/>
        <w:t xml:space="preserve">Kutatásunk elsődleges célja a 9 kiválasztott sörpiaci márka esetén a marketingstratégiából fakadó piaci pozíciók, valamint az érzékelt márkaérték és a fogyasztás kapcsolatának vizsgálata volt. Ezen belül több alcél vizsgálatát fogalmaztuk meg: megfelelően pozícionált-e a vizsgált 9 márka; valóban a megcélzott fogyasztói kör vásárolja-e azokat; a termékekhez kapcsolódó asszociációk, érzések és érzelmek összhangban vannak-e a gyártók elgondolásával és kommunikációjával.</w:t>
      </w:r>
      <w:r>
        <w:rPr>
          <w:color w:val="000000"/>
          <w:sz w:val="24"/>
          <w:szCs w:val="24"/>
        </w:rPr>
        <w:br/>
        <w:t xml:space="preserve">Első lépésben megvizsgáltuk a magyar sörpiaci trendeket, a célcsoportokat, ezt követően pedig arra a döntésre jutottunk, hogy generációs ismérv bevezetésével a sörfogyasztókat további két szegmensre bontjuk. Az új ismérv bevezetését a vizsgált Y és X generáció eltérő értékrendjéből és élménykészletéből fakadó markánsan elkülönülő médiafogyasztás és kommunikációs elérhetőség indokolja.</w:t>
      </w:r>
      <w:r>
        <w:rPr>
          <w:color w:val="000000"/>
          <w:sz w:val="24"/>
          <w:szCs w:val="24"/>
        </w:rPr>
        <w:br/>
        <w:t xml:space="preserve">A primer vizsgálatok során 5 hipotézist fogalmaztunk meg, melyek kijelölték a kutatási irányvonalakat. A feltáró kutatások (fókuszcsoport, etnográfia, netnográfia) eredményeinek tükrében on-line és személyes kérdőíves, mennyiségi kutatást is végeztünk. A kiértékelésnél az SPSS statisztikai programot alkalmaztuk.</w:t>
      </w:r>
      <w:r>
        <w:rPr>
          <w:color w:val="000000"/>
          <w:sz w:val="24"/>
          <w:szCs w:val="24"/>
        </w:rPr>
        <w:br/>
        <w:t xml:space="preserve">A kutatás legfőbb megállapításai: a sörfogyasztási szokások, valamint motivációk eltérőek az Y és az X generáció között; a sörmárkák ATL kommunikációja szegmentáció nélkül megállja a helyét, ám a BTL kommunikáció nem, következésképp a sörmárkák BTL kommunikációját korcsoportonként, a generációs ismérvek alapján célszerű szegmentálni; hatékonyan működik a sörfogyasztás eltolása a vendéglátóegységek felé; a magyarságtudat mindkét generációban erős, ám az Y generációban valamelyest gyengébb a jelenléte, ezáltal a reklámok megítélése is gyengébb; illetve, hogy a mainstream kategóriába tartozó sörök kommunikációja a terméktulajdonságokra kiegészítő hatással van.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385816">
    <w:multiLevelType w:val="hybridMultilevel"/>
    <w:lvl w:ilvl="0" w:tplc="664917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385816">
    <w:abstractNumId w:val="113858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915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