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CSEH</w:t>
            </w:r>
          </w:p>
          <w:p w:rsidR="00C275A3" w:rsidRDefault="00A96AEC" w:rsidP="00C275A3">
            <w:pPr>
              <w:pStyle w:val="Hallgatokepzes"/>
            </w:pPr>
            <w:r>
              <w:t>business development</w:t>
            </w:r>
            <w:r>
              <w:br/>
            </w:r>
            <w:r w:rsidR="00E77B23">
              <w:t>MA, 2. semester</w:t>
            </w:r>
          </w:p>
          <w:p w:rsidR="00C265CE" w:rsidRPr="009E5FF1" w:rsidRDefault="00E77B23" w:rsidP="00BA6BAF">
            <w:pPr>
              <w:pStyle w:val="Hallgatointezmeny-kar"/>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ANDRÁS GÁSPÁR</w:t>
            </w:r>
          </w:p>
          <w:p w:rsidR="00DB4822" w:rsidRDefault="00C275A3" w:rsidP="004D7940">
            <w:pPr>
              <w:pStyle w:val="Hallgatokepzes"/>
            </w:pPr>
            <w:r>
              <w:t>Commerce and Marketing</w:t>
            </w:r>
            <w:r w:rsidR="00A96AEC">
              <w:br/>
              <w:t>BA, 7.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Economics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MOLNÁR</w:t>
            </w:r>
          </w:p>
          <w:p w:rsidR="00C275A3" w:rsidRDefault="00A96AEC" w:rsidP="00C275A3">
            <w:pPr>
              <w:pStyle w:val="Hallgatokepzes"/>
            </w:pPr>
            <w:r>
              <w:t>Commerce and Marketing</w:t>
            </w:r>
            <w:r>
              <w:br/>
            </w:r>
            <w:r w:rsidR="00E77B23">
              <w:t>BA, 7. semester</w:t>
            </w:r>
          </w:p>
          <w:p w:rsidR="00C265CE" w:rsidRPr="009E5FF1" w:rsidRDefault="00E77B23" w:rsidP="00BA6BAF">
            <w:pPr>
              <w:pStyle w:val="Hallgatointezmeny-kar"/>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Noémi Iszak</w:t>
            </w:r>
          </w:p>
          <w:p w:rsidR="00DB4822" w:rsidRDefault="00DB4822" w:rsidP="00BA6BAF">
            <w:pPr>
              <w:pStyle w:val="Konzulensektitulus"/>
            </w:pPr>
            <w:r w:rsidRPr="00DB4822">
              <w:t>professors's assistant,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Generations, trademarks and target groups on the mainstream beer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beer market trends; brands; generations; ethnography</w:t>
      </w:r>
      <w:r>
        <w:t xml:space="preserve"/>
      </w:r>
    </w:p>
    <w:p>
      <w:pPr>
        <w:widowControl w:val="on"/>
        <w:pBdr/>
        <w:spacing w:before="240" w:after="240" w:line="240" w:lineRule="auto"/>
        <w:ind w:left="0" w:right="0"/>
        <w:jc w:val="left"/>
      </w:pPr>
      <w:r>
        <w:rPr>
          <w:color w:val="000000"/>
          <w:sz w:val="24"/>
          <w:szCs w:val="24"/>
        </w:rPr>
        <w:t xml:space="preserve">For a long time we are concerned about examining people’s motivation when consumping beer, which are the main factors when they decide among brands and products, how much the factors like price, actions, packaging influence them in the choosing process, and least are there any more hidden, hardly identifiable motivations and experiences that help choosing a particular product.</w:t>
      </w:r>
      <w:r>
        <w:rPr>
          <w:color w:val="000000"/>
          <w:sz w:val="24"/>
          <w:szCs w:val="24"/>
        </w:rPr>
        <w:br/>
        <w:t xml:space="preserve">On the market of the nine chosen brand our main goal of the research was to examine the connection between the market positions derivated from the marketing strategy and the perceived quality together with the level of consumption. Within this we appointed several subgoals to answer the questions: are the chosen brands properly positioned, really are the target groups the main consumers, are the product-connected associations and feelings consistent to the producers’ goals and communication?</w:t>
      </w:r>
      <w:r>
        <w:rPr>
          <w:color w:val="000000"/>
          <w:sz w:val="24"/>
          <w:szCs w:val="24"/>
        </w:rPr>
        <w:br/>
        <w:t xml:space="preserve">At first, we examined the trends and target groups on the beer market, then we decided to divide the present segments into two more parts along with a new, generational segmentation criteria. The introduction of the new criteria is justified with the differing values and experiences in the examined X and Y generations as these end in different media consumption and communicational availability.</w:t>
      </w:r>
      <w:r>
        <w:rPr>
          <w:color w:val="000000"/>
          <w:sz w:val="24"/>
          <w:szCs w:val="24"/>
        </w:rPr>
        <w:br/>
        <w:t xml:space="preserve">In the primary research we draw up 5 hypothesises that outlined the main research lines. After the exploratory research (netnography, ethnography, focus groups, off- and on-trade examinations, personal askings, deep interviews) we performed a quantitative research using online and personal questionnaires. At the evaluation we used the SPSS Statistical Program.</w:t>
      </w:r>
      <w:r>
        <w:rPr>
          <w:color w:val="000000"/>
          <w:sz w:val="24"/>
          <w:szCs w:val="24"/>
        </w:rPr>
        <w:br/>
        <w:t xml:space="preserve">Our principal statements of the research are: beer consumption habits and motivations are differ in the Y and X generations; contrary to BTL, ATL communication of beer brands is proper without further segmentation; so BTL communication should be segmented with generational criteria too; offset of the beer consumption works efficiently towards the catering establishments; Hungarian consciousness is strong in both generations, but it’s presence in the Y generation is weaker, hereby the judgement of the advertisements are weaker too; and, that the beers’ communication in the mainstream category has an additional effect on the product characters.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79298">
    <w:multiLevelType w:val="hybridMultilevel"/>
    <w:lvl w:ilvl="0" w:tplc="88214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79298">
    <w:abstractNumId w:val="512792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6589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