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HORVÁTH</w:t>
            </w:r>
          </w:p>
          <w:p w:rsidR="00C275A3" w:rsidRDefault="00A96AEC" w:rsidP="00C275A3">
            <w:pPr>
              <w:pStyle w:val="Hallgatokepzes"/>
            </w:pPr>
            <w:r>
              <w:t>Business Administration and Management</w:t>
            </w:r>
            <w:r>
              <w:br/>
            </w:r>
            <w:r w:rsidR="00E77B23">
              <w:t>BSc, 5.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Kiss</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Simplified entrepreneurial taxation of sole proprietorships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simplified, taxation, eva, entrepreneurial</w:t>
      </w:r>
      <w:r>
        <w:t xml:space="preserve"/>
      </w:r>
    </w:p>
    <w:p>
      <w:pPr>
        <w:widowControl w:val="on"/>
        <w:pBdr/>
        <w:spacing w:before="240" w:after="240" w:line="240" w:lineRule="auto"/>
        <w:ind w:left="0" w:right="0"/>
        <w:jc w:val="left"/>
      </w:pPr>
      <w:r>
        <w:rPr>
          <w:color w:val="000000"/>
          <w:sz w:val="24"/>
          <w:szCs w:val="24"/>
        </w:rPr>
        <w:t xml:space="preserve">In 2003, with the introduction of the simplified entrepreneurial tax (EVA), the purpose of the codifiers was to moderate the tax liability of the companies, which have little net revenue and to make their activity easier. To reach this goal, they determined a lower tax rate than the tax rate of the other tax types. Moreover it makes the companies' administration also easier, because this tax replaces more other taxes. Initially thanks to the favourable conditions, choosing it is worth for a lot of companies, which meet the criteria of selecting it. However due to the conditions, only a small proportion of the participants in the economy can choose this. Nevertheless years after, the tax rates and the conditions of the entrance have changed several times. While in 2003 the maximum revenues, the companies can reach, was 15 million forint, by the year of 2012 it was doubled. The number of companies, which can choose the simplified entrepreneurial tax, has also increased. However the tax rate was also raised repeatedly, so the initially 15 % tax rate increased to 37 % by 2012, this decreased the number of companies, whose rational choose was this tax type. During the analysis I examined the effects of the tax changes on the sole proprietorship and I sought to answer to that after the tax changes who should select the simplified entrepreneurial tax. For this I took several factors into consideration and I examined how the company types, the net revenues and the expense ratio affect the best decision of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48004">
    <w:multiLevelType w:val="hybridMultilevel"/>
    <w:lvl w:ilvl="0" w:tplc="22094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48004">
    <w:abstractNumId w:val="21448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715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