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GAJDA</w:t>
            </w:r>
          </w:p>
          <w:p w:rsidR="00C275A3" w:rsidRDefault="00A96AEC" w:rsidP="00C275A3">
            <w:pPr>
              <w:pStyle w:val="Hallgatokepzes"/>
            </w:pPr>
            <w:r>
              <w:t>Petroleum Engineering</w:t>
            </w:r>
            <w:r>
              <w:br/>
            </w:r>
            <w:r w:rsidR="00E77B23">
              <w:t>MSc, 10.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Bódi PhD</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István Papp</w:t>
            </w:r>
          </w:p>
          <w:p w:rsidR="00DB4822" w:rsidRDefault="00DB4822" w:rsidP="00E11062">
            <w:pPr>
              <w:pStyle w:val="Konzulensek"/>
            </w:pPr>
            <w:r w:rsidRPr="00DB4822">
              <w:t>senior expert,  MOL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Reservoir Fluid Characterization of a Near Critical Gas Condensate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petroleum engineering calculations require PVT properties of the reservoir fluid. It is an input data in calculations, if it is wrong, the results will also be wrong, so the accurate PVT model is crucial. The prediction of PVT properties can be done by Black Oil correlations or equation of state. Equation of state is more accurate and can be used in more complicated cases as well.</w:t>
      </w:r>
    </w:p>
    <w:p>
      <w:pPr>
        <w:widowControl w:val="on"/>
        <w:pBdr/>
        <w:spacing w:before="240" w:after="240" w:line="240" w:lineRule="auto"/>
        <w:ind w:left="0" w:right="0"/>
        <w:jc w:val="left"/>
      </w:pPr>
      <w:r>
        <w:rPr>
          <w:color w:val="000000"/>
          <w:sz w:val="24"/>
          <w:szCs w:val="24"/>
        </w:rPr>
        <w:t xml:space="preserve">This paper presents a detailed EOS fluid characterization study for a very rich gas condensate reservoir.The reservoir pressure is 7753 psia and the reservoir temperature is 196 °F. The zero flash GOR of the gas condensate is 3939 scf/STB, the C12+ fraction of the fluid is 5.94% (13.27% C7+), which makes its phase behaviour really complex, and harder to model than in normal cases.</w:t>
      </w:r>
    </w:p>
    <w:p>
      <w:pPr>
        <w:widowControl w:val="on"/>
        <w:pBdr/>
        <w:spacing w:before="240" w:after="240" w:line="240" w:lineRule="auto"/>
        <w:ind w:left="0" w:right="0"/>
        <w:jc w:val="left"/>
      </w:pPr>
      <w:r>
        <w:rPr>
          <w:color w:val="000000"/>
          <w:sz w:val="24"/>
          <w:szCs w:val="24"/>
        </w:rPr>
        <w:t xml:space="preserve">A TBP, a CCE and a CVD measurements were performed on the fluid sample. At first the validity of these measurements was checked to filter out those errors which were more than the measurement accuracy.</w:t>
      </w:r>
    </w:p>
    <w:p>
      <w:pPr>
        <w:widowControl w:val="on"/>
        <w:pBdr/>
        <w:spacing w:before="240" w:after="240" w:line="240" w:lineRule="auto"/>
        <w:ind w:left="0" w:right="0"/>
        <w:jc w:val="left"/>
      </w:pPr>
      <w:r>
        <w:rPr>
          <w:color w:val="000000"/>
          <w:sz w:val="24"/>
          <w:szCs w:val="24"/>
        </w:rPr>
        <w:t xml:space="preserve">The composition of the fluid was originally measured up to C36+. In the first step of the characterization of the C7+ fraction, 7 pseudocomponents were made to approximate it. After that a correlation was fitted to the TBP data to describe the relative density of the C7+ fractions in the function of the molar mass. The other properties of the pseudocomponents were determined with simple correlations.</w:t>
      </w:r>
    </w:p>
    <w:p>
      <w:pPr>
        <w:widowControl w:val="on"/>
        <w:pBdr/>
        <w:spacing w:before="240" w:after="240" w:line="240" w:lineRule="auto"/>
        <w:ind w:left="0" w:right="0"/>
        <w:jc w:val="left"/>
      </w:pPr>
      <w:r>
        <w:rPr>
          <w:color w:val="000000"/>
          <w:sz w:val="24"/>
          <w:szCs w:val="24"/>
        </w:rPr>
        <w:t xml:space="preserve">After this, the EOS model with 17 components still predicts 100% liquid phase at reservoir conditions instead of vapour phase. So the EOS model was regressed to the measured data in several ways, and the needed accuracy was achieved in many cases. The best model was chosen by the check of thermodynamical consistency.</w:t>
      </w:r>
    </w:p>
    <w:p>
      <w:pPr>
        <w:widowControl w:val="on"/>
        <w:pBdr/>
        <w:spacing w:before="240" w:after="240" w:line="240" w:lineRule="auto"/>
        <w:ind w:left="0" w:right="0"/>
        <w:jc w:val="left"/>
      </w:pPr>
      <w:r>
        <w:rPr>
          <w:color w:val="000000"/>
          <w:sz w:val="24"/>
          <w:szCs w:val="24"/>
        </w:rPr>
        <w:t xml:space="preserve">At last the number of components was reduced to make the further calculations faster.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98245">
    <w:multiLevelType w:val="hybridMultilevel"/>
    <w:lvl w:ilvl="0" w:tplc="47223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98245">
    <w:abstractNumId w:val="93298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974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