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GAJDA</w:t>
            </w:r>
          </w:p>
          <w:p w:rsidR="00C275A3" w:rsidRDefault="00A96AEC" w:rsidP="00C275A3">
            <w:pPr>
              <w:pStyle w:val="Hallgatokepzes"/>
            </w:pPr>
            <w:r>
              <w:t>Petroleum Engineering</w:t>
            </w:r>
            <w:r>
              <w:br/>
            </w:r>
            <w:r w:rsidR="00E77B23">
              <w:t>MSc, 10.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Takács PhD</w:t>
            </w:r>
          </w:p>
          <w:p w:rsidR="00DB4822" w:rsidRDefault="00DB4822" w:rsidP="009763E0">
            <w:pPr>
              <w:pStyle w:val="Konzulensektitulus"/>
            </w:pPr>
            <w:r w:rsidRPr="00DB4822">
              <w:t>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Fluid Pound Condition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a brief overview of the basics of sucker rod pumping and the theory of fluid pound, a novel mathematical approach was introduced to describe the fluid pound condition. Every step of the numerical solution was detailed including the solution scheme, discretization, initial condition, boundary conditions and the solution algorithm. The dynamic boundary condition was described in more detail, because it is far the most complicated part of the solution</w:t>
      </w:r>
    </w:p>
    <w:p>
      <w:pPr>
        <w:widowControl w:val="on"/>
        <w:pBdr/>
        <w:spacing w:before="240" w:after="240" w:line="240" w:lineRule="auto"/>
        <w:ind w:left="0" w:right="0"/>
        <w:jc w:val="left"/>
      </w:pPr>
      <w:r>
        <w:rPr>
          <w:color w:val="000000"/>
          <w:sz w:val="24"/>
          <w:szCs w:val="24"/>
        </w:rPr>
        <w:t xml:space="preserve">The numerical simulation yields the displacement field on the time-depth domain, which requires evaluation to provide the necessary information about the operation of the pumping system. First of all the loads along the sucker rod string have to be determined from the displacement. From it the safety factors can be calculated directly and the occurrence of buckling is easily detectable on the effective load vs. depth plot. The hydraulic power and the polished rod horsepower can be calculated from the dynamometer cards. The torques and the cyclic load factor can be determined from the polished rod loads.</w:t>
      </w:r>
    </w:p>
    <w:p>
      <w:pPr>
        <w:widowControl w:val="on"/>
        <w:pBdr/>
        <w:spacing w:before="240" w:after="240" w:line="240" w:lineRule="auto"/>
        <w:ind w:left="0" w:right="0"/>
        <w:jc w:val="left"/>
      </w:pPr>
      <w:r>
        <w:rPr>
          <w:color w:val="000000"/>
          <w:sz w:val="24"/>
          <w:szCs w:val="24"/>
        </w:rPr>
        <w:t xml:space="preserve">After the detailed description of the evaluation procedure the effect of the fluid pound on the pumping system was investigated including all the important operation parameters. Generally it can be stated that the fluid level can be allowed to drop into the upper third of the displacement range of the pump, whereas fluid level in the lower two third is not recommended.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60095">
    <w:multiLevelType w:val="hybridMultilevel"/>
    <w:lvl w:ilvl="0" w:tplc="42202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60095">
    <w:abstractNumId w:val="14360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26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