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SIPÁK ANIKÓ</w:t>
            </w:r>
          </w:p>
          <w:p w:rsidR="00C275A3" w:rsidRDefault="00A96AEC" w:rsidP="00C275A3">
            <w:pPr>
              <w:pStyle w:val="Hallgatokepzes"/>
            </w:pPr>
            <w:r>
              <w:t>Műszaki szakoktató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Elektronikus tananyag készítése a díjszabás című tárgy egy moduljának tanulásához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dolgozatom elsődleges célja az volt, hogy egy olyan tantárgyhoz, mint a díjszabás, amelynek összetevői folyton változnak, egy általános érvényű és közérthető tananyagot készítsek, mely megfelel a jelenkor szakmai elvárásainak.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dolgozatom az elektronikus tananyagok középiskolai használhatóságát, a díjszabás oktatásában való alkalmazhatóságát is szeretné bemutatni a Bercsényi Miklós Szakközépiskola tantervére építve. Az OTDK dolgozatom első, bevezető fejezete ennek magyarázatára épül.</w:t>
      </w:r>
      <w:r>
        <w:rPr>
          <w:color w:val="000000"/>
          <w:sz w:val="24"/>
          <w:szCs w:val="24"/>
        </w:rPr>
        <w:br/>
        <w:t xml:space="preserve">Ahhoz, hogy az elektronikus tanítási – tanulási folyamat megvalósítható legyen, meg kell ismerni, ismertetni az elektronikus tanulási környezetet és ennek legfontosabb jellemzőit, kiszolgáló eszközrendszerét. Így OTDK dolgozatom második fejezete ennek a környezetnek a részletes bemutatásával foglalkozik.</w:t>
      </w:r>
      <w:r>
        <w:rPr>
          <w:color w:val="000000"/>
          <w:sz w:val="24"/>
          <w:szCs w:val="24"/>
        </w:rPr>
        <w:br/>
        <w:t xml:space="preserve">A harmadik fejezetben pedig az elektronikus tananyagok legfontosabb jellemzőinek és elemeinek bemutatása a célom, amelyek egyben az általam készített tananyag fő támpontjai is voltak.</w:t>
      </w:r>
      <w:r>
        <w:rPr>
          <w:color w:val="000000"/>
          <w:sz w:val="24"/>
          <w:szCs w:val="24"/>
        </w:rPr>
        <w:br/>
        <w:t xml:space="preserve">A negyedik fejezet a Bercsényi Miklós Szakközépiskola tantervének részletes elemzése elsősorban a témakörök egymásutániságát és időbeosztását vizsgálva.</w:t>
      </w:r>
      <w:r>
        <w:rPr>
          <w:color w:val="000000"/>
          <w:sz w:val="24"/>
          <w:szCs w:val="24"/>
        </w:rPr>
        <w:br/>
        <w:t xml:space="preserve">Az ötödik fejezet a díjszabás nagyon szerteágazó szakirodalmát mutatja be alátámasztva az igényt egy átfogó és közérthető tananyag készítésére.</w:t>
      </w:r>
      <w:r>
        <w:rPr>
          <w:color w:val="000000"/>
          <w:sz w:val="24"/>
          <w:szCs w:val="24"/>
        </w:rPr>
        <w:br/>
        <w:t xml:space="preserve">A hatodik fejezet az általam elkészített tantervajánlást tartalmazza, a témák javasolt sorrendjét és az elsajátíttatására fordítható maximális időkeretet.</w:t>
      </w:r>
      <w:r>
        <w:rPr>
          <w:color w:val="000000"/>
          <w:sz w:val="24"/>
          <w:szCs w:val="24"/>
        </w:rPr>
        <w:br/>
        <w:t xml:space="preserve">A hetedik fejezetben a konkrét, elkészült díjszabási tananyag részletes ismertetése és bemutatása történik kiemelve a specifikus elemeket és szükségességüket.</w:t>
      </w:r>
      <w:r>
        <w:rPr>
          <w:color w:val="000000"/>
          <w:sz w:val="24"/>
          <w:szCs w:val="24"/>
        </w:rPr>
        <w:br/>
        <w:t xml:space="preserve">A nyolcadik fejezet az elektronikus tananyagomnak az oktatási folyamatban, a Bercsényi Miklós Szakközépiskola 12. B osztályában történő gyakorlati alkalmazásához kapcsolódó tanítási tapasztalatok elemzését tartalmazza.</w:t>
      </w:r>
      <w:r>
        <w:rPr>
          <w:color w:val="000000"/>
          <w:sz w:val="24"/>
          <w:szCs w:val="24"/>
        </w:rPr>
        <w:br/>
        <w:t xml:space="preserve">Az OTDK dolgozatom kilencedik és egyben utolsó fejezete egy rövid összefoglalás, amelyben a mérés eredményeit figyelembe véve a tananyagnak a szakmai oktatásban való felhasználási lehetőségeit részletezem.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 a Bercsényi Miklós Szakközépiskola, mind pedig a Széchenyi István Egyetem biztosította számomra a munkámhoz szükséges eszközöket, szoftvereket és a magas szintű elméleti és gyakorlati szakmai támogatást.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46959">
    <w:multiLevelType w:val="hybridMultilevel"/>
    <w:lvl w:ilvl="0" w:tplc="63377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46959">
    <w:abstractNumId w:val="160469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50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