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MURVAI</w:t>
            </w:r>
          </w:p>
          <w:p w:rsidR="00C275A3" w:rsidRDefault="00A96AEC" w:rsidP="00C275A3">
            <w:pPr>
              <w:pStyle w:val="Hallgatokepzes"/>
            </w:pPr>
            <w:r>
              <w:t>Business Development</w:t>
            </w:r>
            <w:r>
              <w:br/>
            </w:r>
            <w:r w:rsidR="00E77B23">
              <w:t>MSc, 4. semester</w:t>
            </w:r>
          </w:p>
          <w:p w:rsidR="00C265CE" w:rsidRPr="009E5FF1" w:rsidRDefault="00E77B23" w:rsidP="00C275A3">
            <w:pPr>
              <w:pStyle w:val="Hallgatokepzes"/>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Edith Kovács</w:t>
            </w:r>
          </w:p>
          <w:p w:rsidR="00DB4822" w:rsidRDefault="00DB4822" w:rsidP="00E11062">
            <w:pPr>
              <w:pStyle w:val="Konzulensek"/>
            </w:pPr>
            <w:r w:rsidRPr="00DB4822">
              <w:t>professor, ÁVF Budapest College of Management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Portfolio modelling and risk comparison using copulas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copula, rare event modelling, economical crisis, risk management</w:t>
      </w:r>
      <w:r>
        <w:t xml:space="preserve"/>
      </w:r>
    </w:p>
    <w:p>
      <w:pPr>
        <w:widowControl w:val="on"/>
        <w:pBdr/>
        <w:spacing w:before="240" w:after="240" w:line="240" w:lineRule="auto"/>
        <w:ind w:left="0" w:right="0"/>
        <w:jc w:val="left"/>
      </w:pPr>
      <w:r>
        <w:rPr>
          <w:color w:val="000000"/>
          <w:sz w:val="24"/>
          <w:szCs w:val="24"/>
        </w:rPr>
        <w:t xml:space="preserve">The events of the economic crisis in 2008 revealed the shortcomings in the supervision of the financial system and pointed to the importance of governmental regulation and the need for a stricter regulation of risk assessment and risk control.</w:t>
      </w:r>
    </w:p>
    <w:p>
      <w:pPr>
        <w:widowControl w:val="on"/>
        <w:pBdr/>
        <w:spacing w:before="240" w:after="240" w:line="240" w:lineRule="auto"/>
        <w:ind w:left="0" w:right="0"/>
        <w:jc w:val="left"/>
      </w:pPr>
      <w:r>
        <w:rPr>
          <w:color w:val="000000"/>
          <w:sz w:val="24"/>
          <w:szCs w:val="24"/>
        </w:rPr>
        <w:t xml:space="preserve">The aim of my thesis is to study the possibilities of methodological risk analysis, especially the usage of copulas. It should be noted that after the economic crisis, the Gaussian copula was blamed for the occurrence of the crisis because with the usage of this methodology, it was unpredictable. In this thesis I would like to defend the copulas, showing the necessity of usage in some case in rare events modeling. I aim to point out the advantages of using these models, taking their limitations into consideration as well.</w:t>
      </w:r>
    </w:p>
    <w:p>
      <w:pPr>
        <w:widowControl w:val="on"/>
        <w:pBdr/>
        <w:spacing w:before="240" w:after="240" w:line="240" w:lineRule="auto"/>
        <w:ind w:left="0" w:right="0"/>
        <w:jc w:val="left"/>
      </w:pPr>
      <w:r>
        <w:rPr>
          <w:color w:val="000000"/>
          <w:sz w:val="24"/>
          <w:szCs w:val="24"/>
        </w:rPr>
        <w:t xml:space="preserve">Since the copula is used successfully for modeling in many fields of risk measurement, and specifically in finance, I believe it is worth devoting special attention to. The application of the copula in the modeling of the dependence of random variables can lead to reliable results when the joint distribution is not normal, which is typical of the financial world and the co-variation of securities. In these cases other tools, such as linear correlation, are inapplicable. Usage of copulas also offers a good possibility to model extreme events.</w:t>
      </w:r>
    </w:p>
    <w:p>
      <w:pPr>
        <w:widowControl w:val="on"/>
        <w:pBdr/>
        <w:spacing w:before="240" w:after="240" w:line="240" w:lineRule="auto"/>
        <w:ind w:left="0" w:right="0"/>
        <w:jc w:val="left"/>
      </w:pPr>
      <w:r>
        <w:rPr>
          <w:color w:val="000000"/>
          <w:sz w:val="24"/>
          <w:szCs w:val="24"/>
        </w:rPr>
        <w:t xml:space="preserve">In my thesis, I demonstrate how the extreme values of a simulated portfolio differ when we generate the system of dependence from different copulas, while the marginal distribution and the correlation coefficient remain the same.</w:t>
      </w:r>
    </w:p>
    <w:p>
      <w:pPr>
        <w:widowControl w:val="on"/>
        <w:pBdr/>
        <w:spacing w:before="240" w:after="240" w:line="240" w:lineRule="auto"/>
        <w:ind w:left="0" w:right="0"/>
        <w:jc w:val="left"/>
      </w:pPr>
      <w:r>
        <w:rPr>
          <w:color w:val="000000"/>
          <w:sz w:val="24"/>
          <w:szCs w:val="24"/>
        </w:rPr>
        <w:t xml:space="preserve">It is important to point out that software packages are becoming increasingly popular among experts because they can be used for modeling the joint distribution easily. I conclude my thesis by a short review of these packages and the recent researches.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83177">
    <w:multiLevelType w:val="hybridMultilevel"/>
    <w:lvl w:ilvl="0" w:tplc="813726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83177">
    <w:abstractNumId w:val="406831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90338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