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RÉVÉSZ</w:t>
            </w:r>
          </w:p>
          <w:p w:rsidR="00C275A3" w:rsidRDefault="00A96AEC" w:rsidP="00C275A3">
            <w:pPr>
              <w:pStyle w:val="Hallgatokepzes"/>
            </w:pPr>
            <w:r>
              <w:t>International Studies</w:t>
            </w:r>
            <w:r>
              <w:br/>
            </w:r>
            <w:r w:rsidR="00E77B23">
              <w:t>BA, 5. semester</w:t>
            </w:r>
          </w:p>
          <w:p w:rsidR="00C265CE" w:rsidRPr="009E5FF1" w:rsidRDefault="00E77B23" w:rsidP="00C275A3">
            <w:pPr>
              <w:pStyle w:val="Hallgatokepzes"/>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Vígh</w:t>
            </w:r>
          </w:p>
          <w:p w:rsidR="00DB4822" w:rsidRDefault="00DB4822" w:rsidP="00E11062">
            <w:pPr>
              <w:pStyle w:val="Konzulensek"/>
            </w:pPr>
            <w:r w:rsidRPr="00DB4822">
              <w:t>professor,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European Union as the clay of development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First, my thesis overviews the history of the European Union education policy, which was launched in 1973. At that moment, they started to recognize the connection between the education and the economic development, and in the following years this area received more attention. Finally, the Union initiated its first ten-year program, which goals couldn’t be achieved fully, but it made huge steps in all areas of the education. Currently, we are in the second part of the 2020 program, but it is questionable whether the Union manages achieve these new goals.</w:t>
      </w:r>
      <w:r>
        <w:rPr>
          <w:color w:val="000000"/>
          <w:sz w:val="24"/>
          <w:szCs w:val="24"/>
        </w:rPr>
        <w:br/>
        <w:t xml:space="preserve">It is necessary to mention that considering the achieved results that the education policy of the European Union is still in its infancy. Moreover, more time is required to achieve these goals in education. Therefore, the efforts, which we made until now, have can’t be noticeable yet. However, there are numerous signs that the programs that aim at increasing the quality of the education, are going to the right direction.</w:t>
      </w:r>
      <w:r>
        <w:rPr>
          <w:color w:val="000000"/>
          <w:sz w:val="24"/>
          <w:szCs w:val="24"/>
        </w:rPr>
        <w:br/>
        <w:t xml:space="preserve">In my thesis, firstly I review the history or the education policy, than I valued the challenge and results of the 2010 program. On the basis of this I examined the goals and results of the 2020 program. I present some suggestions in the end.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50360">
    <w:multiLevelType w:val="hybridMultilevel"/>
    <w:lvl w:ilvl="0" w:tplc="64986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50360">
    <w:abstractNumId w:val="520503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31587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