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HUNOR VÉCSEI</w:t>
            </w:r>
          </w:p>
          <w:p w:rsidR="00C275A3" w:rsidRDefault="00A96AEC" w:rsidP="00C275A3">
            <w:pPr>
              <w:pStyle w:val="Hallgatokepzes"/>
            </w:pPr>
            <w:r>
              <w:t>History of Art</w:t>
            </w:r>
            <w:r>
              <w:br/>
            </w:r>
            <w:r w:rsidR="00E77B23">
              <w:t>BA, 6. semester</w:t>
            </w:r>
          </w:p>
          <w:p w:rsidR="00C265CE" w:rsidRPr="009E5FF1" w:rsidRDefault="00E77B23" w:rsidP="00C275A3">
            <w:pPr>
              <w:pStyle w:val="Hallgatokepzes"/>
              <w:rPr>
                <w:b/>
                <w:caps/>
              </w:rPr>
            </w:pPr>
            <w:r>
              <w:t>Babeș-Bolyai University</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Kovács</w:t>
            </w:r>
          </w:p>
          <w:p w:rsidR="00DB4822" w:rsidRDefault="00DB4822" w:rsidP="00E11062">
            <w:pPr>
              <w:pStyle w:val="Konzulensek"/>
            </w:pPr>
            <w:r w:rsidRPr="00DB4822">
              <w:t>senior 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Portraits of Árpád Vida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Artist Árpád Vida (1884–1915), originating from Marosvásárhely (Târgu Mureş, Romania), was a fascinating figure of Hungarian art at the beginning of the 20th century, who was however forgotten early on due to his short life. He was launched on the artistic career by his art teacher at the college in Marosvásárhely, Károly Gulyás. In Budapest he was a student at the Drawing School, and later at the University of Fine Arts, participating already in this period with success in national exhibitions, as well as in those organized in Venice and Dresden. At the end of 1910 he traveled to Paris with a Hungarian national fellowship, where the novel solutions and topics had a significant influence over his later creations. His portraits occupy a prominent place within his oeuvre, offering a faithful cross-section of the artist’s vision, as well as its evolution.</w:t>
      </w:r>
    </w:p>
    <w:p>
      <w:pPr>
        <w:widowControl w:val="on"/>
        <w:pBdr/>
        <w:spacing w:before="240" w:after="240" w:line="240" w:lineRule="auto"/>
        <w:ind w:left="0" w:right="0"/>
        <w:jc w:val="left"/>
      </w:pPr>
      <w:r>
        <w:rPr>
          <w:color w:val="000000"/>
          <w:sz w:val="24"/>
          <w:szCs w:val="24"/>
        </w:rPr>
        <w:t xml:space="preserve">In my paper, I will present through his portraits sought out by me, respectively I will place within the period’s Hungarian and international artistic milieu the specific, lyrical style of Árpád Vida, which can be related mostly with that of the impressionists.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39962">
    <w:multiLevelType w:val="hybridMultilevel"/>
    <w:lvl w:ilvl="0" w:tplc="20405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39962">
    <w:abstractNumId w:val="72839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965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