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SZABÓ</w:t>
            </w:r>
          </w:p>
          <w:p w:rsidR="00C275A3" w:rsidRDefault="00A96AEC" w:rsidP="00C275A3">
            <w:pPr>
              <w:pStyle w:val="Hallgatokepzes"/>
            </w:pPr>
            <w:r>
              <w:t>Hungarian linguistic and literary studies</w:t>
            </w:r>
            <w:r>
              <w:br/>
            </w:r>
            <w:r w:rsidR="00E77B23">
              <w:t>MA, 2. semester</w:t>
            </w:r>
          </w:p>
          <w:p w:rsidR="00C265CE" w:rsidRPr="009E5FF1" w:rsidRDefault="00E77B23" w:rsidP="009763E0">
            <w:pPr>
              <w:pStyle w:val="Hallgatointezmeny-kar"/>
              <w:rPr>
                <w:b/>
                <w:caps/>
              </w:rPr>
            </w:pPr>
            <w:r>
              <w:t>Babeș-Bolyai University</w:t>
            </w:r>
            <w:r w:rsidR="00C275A3">
              <w:br/>
            </w:r>
            <w:r w:rsidR="00DB4822">
              <w:t>Faculty of Letters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Levente T. Szabó</w:t>
            </w:r>
          </w:p>
          <w:p w:rsidR="00DB4822" w:rsidRDefault="00DB4822" w:rsidP="009763E0">
            <w:pPr>
              <w:pStyle w:val="Konzulensektitulus"/>
            </w:pPr>
            <w:r w:rsidRPr="00DB4822">
              <w:t>lecturer, BBTE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Regional identity and the approach to literature in the works of Miklós K. Papp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Based on the protectionist attitude appearing in the journalistic habit of Miklós K. Papp – analyzing two papers founded and edited by him, the Magyar Polgár, one of the most important papers of Transylvania following the Austro-Hungarian Compromise and its weekly literary annex, the Hölgyfutár (1876–1878), focusing on the discourses regarding the theatre – one can see the strategies of constructing a specific Transylvanian identity. The position of Transylvania after the Compromise shows similarities with other regions, such as the German provinces following the formation of the German Emipre or the areas affected by the expansion of the Habsburg Monarchy. Taking the above into account, reflecting on the similarities and pecularities, I give a broader context to my interpretation. In the second half of my paper I intend to approach the issue of regionalism and double affection towards the region and the nation through the journalistic and literary habit of K. Papp.</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51515">
    <w:multiLevelType w:val="hybridMultilevel"/>
    <w:lvl w:ilvl="0" w:tplc="168379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51515">
    <w:abstractNumId w:val="140515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84674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