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RÉKA MIHÁLY</w:t>
            </w:r>
          </w:p>
          <w:p w:rsidR="00C275A3" w:rsidRDefault="00A96AEC" w:rsidP="00C275A3">
            <w:pPr>
              <w:pStyle w:val="Hallgatokepzes"/>
            </w:pPr>
            <w:r>
              <w:t>Chemistry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University</w:t>
            </w:r>
            <w:r w:rsidR="00C275A3">
              <w:br/>
            </w:r>
            <w:r w:rsidR="00DB4822">
              <w:t>Faculty of Chemistry and Chemical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Tamas Lovasz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Syntheses and caracterization of Betti bases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aminonaphthol; resolution; ligand; β-naphthol; phenothiazine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the beginning of the 20th Century, Mario Betti an italian chemist reported the synthesis of the first aminonaphtol. The synthesis of aminonaphthols (so-called Betti bases) is a three-component Mannich reaction between a carbaldehyde, an amino-compound (aryl-, alkyl amines or ammonia) and naphthol. Direct aminoalkylation has great interest in synthetic organic chemistry and considerable importance for the synthesis of drugs, pesticides and natural products.[1,2]</w:t>
      </w:r>
      <w:r>
        <w:rPr>
          <w:color w:val="000000"/>
          <w:sz w:val="24"/>
          <w:szCs w:val="24"/>
        </w:rPr>
        <w:br/>
        <w:t xml:space="preserve">Optical active Betti bases have been used as chiral ligands for enantioselective addition of dialkyl zinc to aryl aldehydes[3,4]. Betti-bases are used as ligands in palladium-catalyzed Mizoroki–Heck reaction[5] and as efficient phosphine-free ligands in palladium catalyzed Suzuki reaction for a variety of substrates.[6]</w:t>
      </w:r>
      <w:r>
        <w:rPr>
          <w:color w:val="000000"/>
          <w:sz w:val="24"/>
          <w:szCs w:val="24"/>
        </w:rPr>
        <w:br/>
        <w:t xml:space="preserve">Our work was focused on the synthesis of new aminonaphthols by reactions of β-naphthol, benzaldehyde or 10-methyl-10H-phenothiazine-3-carbaldehyde and aryl- or alkil- amines. We have studied the resolution of the synthesed chiral Betti bases and also the catalytic exchange of OH grups to a diphenilphosphine grups.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Bibliography:</w:t>
      </w:r>
      <w:r>
        <w:rPr>
          <w:color w:val="000000"/>
          <w:sz w:val="24"/>
          <w:szCs w:val="24"/>
        </w:rPr>
        <w:br/>
        <w:t xml:space="preserve">1. M. Betti, Org. Synt. 1, 1941, 381-383</w:t>
      </w:r>
      <w:r>
        <w:rPr>
          <w:color w:val="000000"/>
          <w:sz w:val="24"/>
          <w:szCs w:val="24"/>
        </w:rPr>
        <w:br/>
        <w:t xml:space="preserve">2. C. Cardellicchio, M. Annunziata, M. Capozzi, Tetrahedron: Asymm., 2010, 21, 507-517</w:t>
      </w:r>
      <w:r>
        <w:rPr>
          <w:color w:val="000000"/>
          <w:sz w:val="24"/>
          <w:szCs w:val="24"/>
        </w:rPr>
        <w:br/>
        <w:t xml:space="preserve">3. J. Lu, X. Xu, C. Wang, J. He, Tetrahedron Lett., 2002, 43, 8367-8369</w:t>
      </w:r>
      <w:r>
        <w:rPr>
          <w:color w:val="000000"/>
          <w:sz w:val="24"/>
          <w:szCs w:val="24"/>
        </w:rPr>
        <w:br/>
        <w:t xml:space="preserve">4. N. Hosoda, H. Ito, T. Takimoto, M. Asami, Bull. Chem. Soc. Jpn., 2012, 85, 1014-1022</w:t>
      </w:r>
      <w:r>
        <w:rPr>
          <w:color w:val="000000"/>
          <w:sz w:val="24"/>
          <w:szCs w:val="24"/>
        </w:rPr>
        <w:br/>
        <w:t xml:space="preserve">5. R. Anju, V. Ashutosh, Synth. Com., 2012, 42, 1778-1785</w:t>
      </w:r>
      <w:r>
        <w:rPr>
          <w:color w:val="000000"/>
          <w:sz w:val="24"/>
          <w:szCs w:val="24"/>
        </w:rPr>
        <w:br/>
        <w:t xml:space="preserve">6. A. R. Chaudhary, A. V. Bedekar, App. Org. Chem., 2012, 26, 430-437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119443">
    <w:multiLevelType w:val="hybridMultilevel"/>
    <w:lvl w:ilvl="0" w:tplc="877812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119443">
    <w:abstractNumId w:val="951194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16879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