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MOLNAR EVA ANDREA</w:t>
            </w:r>
          </w:p>
          <w:p w:rsidR="00C275A3" w:rsidRDefault="00A96AEC" w:rsidP="00C275A3">
            <w:pPr>
              <w:pStyle w:val="Hallgatokepzes"/>
            </w:pPr>
            <w:r>
              <w:t>Chemistry and engineering of organic substances, petrochemistry and carbochemistry</w:t>
            </w:r>
            <w:r>
              <w:br/>
            </w:r>
            <w:r w:rsidR="00E77B23">
              <w:t>BA, 8. semester</w:t>
            </w:r>
          </w:p>
          <w:p w:rsidR="00C265CE" w:rsidRPr="009E5FF1" w:rsidRDefault="00E77B23" w:rsidP="00C275A3">
            <w:pPr>
              <w:pStyle w:val="Hallgatokepzes"/>
              <w:rPr>
                <w:b/>
                <w:caps/>
              </w:rPr>
            </w:pPr>
            <w:r>
              <w:t>Babeș-Bolyai University</w:t>
            </w:r>
            <w:r w:rsidR="00C275A3">
              <w:br/>
            </w:r>
            <w:r w:rsidR="00DB4822">
              <w:t>Faculty of Chemistry and Chemical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Tamas Lovasz</w:t>
            </w:r>
          </w:p>
          <w:p w:rsidR="00DB4822" w:rsidRDefault="00DB4822" w:rsidP="00E11062">
            <w:pPr>
              <w:pStyle w:val="Konzulensek"/>
            </w:pPr>
            <w:r w:rsidRPr="00DB4822">
              <w:t>assistant professor, BBTE </w:t>
            </w:r>
          </w:p>
        </w:tc>
      </w:tr>
      <w:tr w:rsidR="00DB4822" w:rsidTr="00DB4822">
        <w:tc>
          <w:tcPr>
            <w:tcW w:w="9854" w:type="dxa"/>
          </w:tcPr>
          <w:p w:rsidR="00DB4822" w:rsidRPr="00DB4822" w:rsidRDefault="00DB4822" w:rsidP="004D7940">
            <w:pPr>
              <w:pStyle w:val="Konzulensek"/>
            </w:pPr>
            <w:r w:rsidRPr="00DB4822">
              <w:t>dr. Emese Gal</w:t>
            </w:r>
          </w:p>
          <w:p w:rsidR="00DB4822" w:rsidRDefault="00DB4822" w:rsidP="00E11062">
            <w:pPr>
              <w:pStyle w:val="Konzulensek"/>
            </w:pPr>
            <w:r w:rsidRPr="00DB4822">
              <w:t>professor's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Phenothiazine–based AB–type porphyrins: synthesis and photochemical bromination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photosensitizer; PDT; Soret band; NBS; phenothiazinyl-porphyrin</w:t>
      </w:r>
      <w:r>
        <w:t xml:space="preserve"/>
      </w:r>
    </w:p>
    <w:p>
      <w:pPr>
        <w:widowControl w:val="on"/>
        <w:pBdr/>
        <w:spacing w:before="240" w:after="240" w:line="240" w:lineRule="auto"/>
        <w:ind w:left="0" w:right="0"/>
        <w:jc w:val="left"/>
      </w:pPr>
      <w:r>
        <w:rPr>
          <w:color w:val="000000"/>
          <w:sz w:val="24"/>
          <w:szCs w:val="24"/>
        </w:rPr>
        <w:t xml:space="preserve">Porphyrins and their derivatives are one of the most significant family of compounds in organic chemistry. Their chemical structure essentially consists of four pyrrole rings joined together by four methine bridges forming a larger macrocycle.</w:t>
      </w:r>
      <w:r>
        <w:rPr>
          <w:color w:val="000000"/>
          <w:sz w:val="24"/>
          <w:szCs w:val="24"/>
        </w:rPr>
        <w:br/>
        <w:t xml:space="preserve">Porphyrins are potentially useful in multiple fields such as organic solar cells, unidimensional conductors and semiconductors, nonlinear optical materials [1] and photosensitizers for artificial photosynthesis and photodynamic therapy [2]. Most of the currently approved clinical photosensitizers for photodynamic therapy belong to the porphyrin family, because the porphyrin macrocycle is hydrophobic with a tendency to aggregate in body fluids and tissues.</w:t>
      </w:r>
      <w:r>
        <w:rPr>
          <w:color w:val="000000"/>
          <w:sz w:val="24"/>
          <w:szCs w:val="24"/>
        </w:rPr>
        <w:br/>
        <w:t xml:space="preserve">The phenothiazinyl-porphyrins have special photo- and electrochemical properties and are new chromophore architectures based on arrays of phenothiazine and heteroaromatic units directly linked to the porphyrin core [3]. The large conjugation between the chromophore units supported the bathochromic shift of the Soret band and a more efficient PDT effect [4].</w:t>
      </w:r>
      <w:r>
        <w:rPr>
          <w:color w:val="000000"/>
          <w:sz w:val="24"/>
          <w:szCs w:val="24"/>
        </w:rPr>
        <w:br/>
        <w:t xml:space="preserve">Based on these studies, our research goal was to synthesize some new phenothiazinyl-porphyrins with bathochromic shift of the Soret band.</w:t>
      </w:r>
      <w:r>
        <w:rPr>
          <w:color w:val="000000"/>
          <w:sz w:val="24"/>
          <w:szCs w:val="24"/>
        </w:rPr>
        <w:br/>
        <w:t xml:space="preserve">The meso substituted compounds were prepared according to Adler-Longo procedure [5]: mixt condensation reaction of 10–methyl–phenothiazine–3–carbaldehyde with alkoxy–benzaldehyde and pyrrole in presence of propionic acid. The photochemical bromination was made at room temperature with UV lamp and N–bromosuccinimide (NBS) as brominating agent. The resulting meso-phenothiazinyl-porphyrins and their </w:t>
      </w:r>
      <w:r>
        <w:rPr>
          <w:color w:val="000000"/>
          <w:position w:val="-3"/>
          <w:sz w:val="24"/>
          <w:szCs w:val="24"/>
        </w:rPr>
        <w:drawing>
          <wp:inline distT="0" distB="0" distL="0" distR="0">
            <wp:extent cx="115200" cy="136800"/>
            <wp:docPr id="16879471" name="name1547e4fe154f8c" descr="imgtmp_26279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6279_int_1.gif"/>
                    <pic:cNvPicPr/>
                  </pic:nvPicPr>
                  <pic:blipFill>
                    <a:blip r:embed="rId1547e4fe154f38" cstate="print"/>
                    <a:stretch>
                      <a:fillRect/>
                    </a:stretch>
                  </pic:blipFill>
                  <pic:spPr>
                    <a:xfrm>
                      <a:off x="0" y="0"/>
                      <a:ext cx="115200" cy="136800"/>
                    </a:xfrm>
                    <a:prstGeom prst="rect">
                      <a:avLst/>
                    </a:prstGeom>
                    <a:ln w="0">
                      <a:noFill/>
                    </a:ln>
                  </pic:spPr>
                </pic:pic>
              </a:graphicData>
            </a:graphic>
          </wp:inline>
        </w:drawing>
      </w:r>
      <w:r>
        <w:rPr>
          <w:color w:val="000000"/>
          <w:sz w:val="24"/>
          <w:szCs w:val="24"/>
        </w:rPr>
        <w:t xml:space="preserve"> -bromo-derivatives were separated by column chromatography. The structures of obtained compounds were investigated by spectroscopic methods (NMR and HRMS measurements) and the optical properties were studied using UV-Vis spectroscopy.</w:t>
      </w:r>
      <w:r>
        <w:rPr>
          <w:color w:val="000000"/>
          <w:sz w:val="24"/>
          <w:szCs w:val="24"/>
        </w:rPr>
        <w:br/>
        <w:br/>
        <w:t xml:space="preserve">Bibliography:</w:t>
      </w:r>
      <w:r>
        <w:rPr>
          <w:color w:val="000000"/>
          <w:sz w:val="24"/>
          <w:szCs w:val="24"/>
        </w:rPr>
        <w:br/>
        <w:t xml:space="preserve">[1] S. Tokuji, H. Awane, H. Yorimitsu, Chemistry-A European Journal, 2013, 19, 64–68</w:t>
      </w:r>
      <w:r>
        <w:rPr>
          <w:color w:val="000000"/>
          <w:sz w:val="24"/>
          <w:szCs w:val="24"/>
        </w:rPr>
        <w:br/>
        <w:t xml:space="preserve">[2] D. Mitton, R. Ackroyd, Photodiagnosis and Photodynamic Therapy, 2008, 5, 103–111</w:t>
      </w:r>
      <w:r>
        <w:rPr>
          <w:color w:val="000000"/>
          <w:sz w:val="24"/>
          <w:szCs w:val="24"/>
        </w:rPr>
        <w:br/>
        <w:t xml:space="preserve">[3] Z. Diwu, J.W.Lown, Pharmacology &amp; Therapeutics, 1994, 63, 1-35</w:t>
      </w:r>
      <w:r>
        <w:rPr>
          <w:color w:val="000000"/>
          <w:sz w:val="24"/>
          <w:szCs w:val="24"/>
        </w:rPr>
        <w:br/>
        <w:t xml:space="preserve">[4] E. Gal, B. Brem, I. Pereteanu, L. Gaina, T. Lovasz, M. Perde-Schrepler, C. Cristea, L. Silaghi-Dumitrescu, Dyes and Pigments, 2013, 99, 144–153</w:t>
      </w:r>
      <w:r>
        <w:rPr>
          <w:color w:val="000000"/>
          <w:sz w:val="24"/>
          <w:szCs w:val="24"/>
        </w:rPr>
        <w:br/>
        <w:t xml:space="preserve">[5] A. D. Adler, F. R. Longo, J. D. Finarelli, J. Goldmacher, J. Assour, L. J. Korsakoff, The Journal of Organic Chemistry, 1967, 32, 476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525510">
    <w:multiLevelType w:val="hybridMultilevel"/>
    <w:lvl w:ilvl="0" w:tplc="201408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525510">
    <w:abstractNumId w:val="15525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9954811" Type="http://schemas.openxmlformats.org/officeDocument/2006/relationships/numbering" Target="numbering.xml"/><Relationship Id="rId1547e4fe154f38" Type="http://schemas.openxmlformats.org/officeDocument/2006/relationships/image" Target="media/imgrId1547e4fe154f3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