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ERVIN DENICH</w:t>
            </w:r>
          </w:p>
          <w:p w:rsidR="00C275A3" w:rsidRDefault="00A96AEC" w:rsidP="00C275A3">
            <w:pPr>
              <w:pStyle w:val="Hallgatokepzes"/>
            </w:pPr>
            <w:r>
              <w:t>Finance</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Eleonóra Budai Ph.D</w:t>
            </w:r>
          </w:p>
          <w:p w:rsidR="00DB4822" w:rsidRDefault="00DB4822" w:rsidP="00E11062">
            <w:pPr>
              <w:pStyle w:val="Konzulensek"/>
            </w:pPr>
            <w:r w:rsidRPr="00DB4822">
              <w:t>Assistant professor ,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accounting informations in risk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false informations; risk accounting; enterprise risk management</w:t>
      </w:r>
      <w:r>
        <w:t xml:space="preserve"/>
      </w:r>
    </w:p>
    <w:p>
      <w:pPr>
        <w:widowControl w:val="on"/>
        <w:pBdr/>
        <w:spacing w:before="240" w:after="240" w:line="240" w:lineRule="auto"/>
        <w:ind w:left="0" w:right="0"/>
        <w:jc w:val="left"/>
      </w:pPr>
      <w:r>
        <w:rPr>
          <w:color w:val="000000"/>
          <w:sz w:val="24"/>
          <w:szCs w:val="24"/>
        </w:rPr>
        <w:t xml:space="preserve">The study emphasizes the micro level of accounting, namely company-wide accounting. After it, I am going to identify the three levels (international, national, enterprise-level control) to GAAP. Then, I discuss the origin of the accounting irregularities, fraud and accounting most common modalities and financial reports instances of fraud and the contents of false informing risk factors. After the year 2000 the fall of several U.S. companies – including Enron corporate failure – was caused by the crisis which was accused by biased statements of company performance. Enterprise risk management (ERM) has taken a new approach to the fore after the crisis, which apparently overcomes the limitations of traditional silo-based risk management (TRM). The ERM manages risks on the basis of information gathered enterprise-level. Which converts the expectations of the company’s cash flow variability, depending on progress of various cash commitment. This study describes some of the underlying index number bias, and usefulness of accounting information, the risk of cash flow models to determine the distribution of EBITDA. Finally it points out that using the distorted data it is EBITDA is unfit, and in the case of distortion-free data it may induce hedging transaction for fraud and false informations.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46976">
    <w:multiLevelType w:val="hybridMultilevel"/>
    <w:lvl w:ilvl="0" w:tplc="99993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46976">
    <w:abstractNumId w:val="69946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503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