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TALJÁN</w:t>
            </w:r>
          </w:p>
          <w:p w:rsidR="00C275A3" w:rsidRDefault="00A96AEC" w:rsidP="00C275A3">
            <w:pPr>
              <w:pStyle w:val="Hallgatokepzes"/>
            </w:pPr>
            <w:r>
              <w:t>Finance</w:t>
            </w:r>
            <w:r>
              <w:br/>
            </w:r>
            <w:r w:rsidR="00E77B23">
              <w:t>MSc, 9.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Éva Pintér Ph.D.</w:t>
            </w:r>
          </w:p>
          <w:p w:rsidR="00DB4822" w:rsidRDefault="00DB4822" w:rsidP="00BA6BAF">
            <w:pPr>
              <w:pStyle w:val="Konzulensektitulus"/>
            </w:pPr>
            <w:r w:rsidRPr="00DB4822">
              <w:t>assistant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Competitive strategy analysis of the mergers and acquisitions in infocommunication sector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acquisitions; competition; strategy; profitability; ICT sector</w:t>
      </w:r>
      <w:r>
        <w:t xml:space="preserve"/>
      </w:r>
    </w:p>
    <w:p>
      <w:pPr>
        <w:widowControl w:val="on"/>
        <w:pBdr/>
        <w:spacing w:before="240" w:after="240" w:line="240" w:lineRule="auto"/>
        <w:ind w:left="0" w:right="0"/>
        <w:jc w:val="left"/>
      </w:pPr>
      <w:r>
        <w:rPr>
          <w:color w:val="000000"/>
          <w:sz w:val="24"/>
          <w:szCs w:val="24"/>
        </w:rPr>
        <w:t xml:space="preserve">The purpose of this paper is to present the competitive strategic motives of M&amp;A transactions. My research is based on the ICT industry, as strategy-driven takeover activity can primarily be observed in sectors, where intense competition takes place. My empirical research is aimed at demonstrating current directions and strategic motivations of M&amp;A transactions inside of this industry, and I wish to analyze, whether the profitability of companies depends on the direction of transactions performed by them. Using profitability ratios I compare fifty enterprises with the highest revenue in the ICT sector in terms of efficiency of their transactions. The results show that in most cases mergers and acquisitions in the ICT industry do not create value for the acquiring companies. Furthermore, the value creating potential of vertical integration is far above that of horizontal transactions.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932256">
    <w:multiLevelType w:val="hybridMultilevel"/>
    <w:lvl w:ilvl="0" w:tplc="194535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932256">
    <w:abstractNumId w:val="239322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74307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