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GARDÁNFALVI ANDRÁS</w:t>
            </w:r>
          </w:p>
          <w:p w:rsidR="00C275A3" w:rsidRDefault="00A96AEC" w:rsidP="00C275A3">
            <w:pPr>
              <w:pStyle w:val="Hallgatokepzes"/>
            </w:pPr>
            <w:r>
              <w:t>Villamosmérnöki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Máthé Kálmán</w:t>
            </w:r>
          </w:p>
          <w:p w:rsidR="00DB4822" w:rsidRDefault="00DB4822" w:rsidP="009763E0">
            <w:pPr>
              <w:pStyle w:val="Konzulensektitulus"/>
            </w:pPr>
            <w:r w:rsidRPr="00DB4822">
              <w:t>nyugalmazott főiskolai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fül természetes torzításának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fül természetes torzításának kutatása</w:t>
      </w:r>
      <w:r>
        <w:rPr>
          <w:color w:val="000000"/>
          <w:sz w:val="24"/>
          <w:szCs w:val="24"/>
        </w:rPr>
        <w:br/>
        <w:t xml:space="preserve">Gardánfalvi András György</w:t>
      </w:r>
      <w:r>
        <w:rPr>
          <w:color w:val="000000"/>
          <w:sz w:val="24"/>
          <w:szCs w:val="24"/>
        </w:rPr>
        <w:br/>
        <w:t xml:space="preserve">2010.es évfolyam, villamosmérnöki</w:t>
      </w:r>
      <w:r>
        <w:rPr>
          <w:color w:val="000000"/>
          <w:sz w:val="24"/>
          <w:szCs w:val="24"/>
        </w:rPr>
        <w:br/>
        <w:t xml:space="preserve">Pécsi Tudományegyetem</w:t>
      </w:r>
      <w:r>
        <w:rPr>
          <w:color w:val="000000"/>
          <w:sz w:val="24"/>
          <w:szCs w:val="24"/>
        </w:rPr>
        <w:br/>
        <w:t xml:space="preserve">Pollack Mihály Műszaki és Informatikai Kar</w:t>
      </w:r>
      <w:r>
        <w:rPr>
          <w:color w:val="000000"/>
          <w:sz w:val="24"/>
          <w:szCs w:val="24"/>
        </w:rPr>
        <w:br/>
        <w:t xml:space="preserve">Konzulens: Máthé Kálmán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fül természetes torzításának kutatása. Ismerteti a témaválasztás indokait, a dolgozat szükségességét. Bemutatja a NaSDi projektet, a szabadalmat és az eddig elért eredményeket.</w:t>
      </w:r>
      <w:r>
        <w:rPr>
          <w:color w:val="000000"/>
          <w:sz w:val="24"/>
          <w:szCs w:val="24"/>
        </w:rPr>
        <w:br/>
        <w:t xml:space="preserve">Az első rész áttekinti az audiológiai, fizikai, zenei alapokat. Az audiológiai alapoknál a fül működését ismerteti, egészen addig, amíg a hang, mint rezgés van jelen. Az akusztikai alapok résznél a hang fizikai jellemzőit tekinti át. A zenei alapok bemutatásánál pedig olyan hangszereket vizsgál, amelyek tudományos szempontból érdekesnek bizonyulnak. Ezekből a bevezetőkből emeli ki a közös jellemzőket, azaz a felharmonikusak jelenlétének fontosságát. A fül torzításának több lehetséges okát mutatja be, majd a legvalószínűbbel, a felharmonikusak kutatásával folytatódik. Ezek után felharmonikusak matematikai sajátosságai következnek, majd a fizikai alapokra kerül a hangsúly.</w:t>
      </w:r>
      <w:r>
        <w:rPr>
          <w:color w:val="000000"/>
          <w:sz w:val="24"/>
          <w:szCs w:val="24"/>
        </w:rPr>
        <w:br/>
        <w:t xml:space="preserve">A TDK dolgozat bemutatja, hogy hogyan készül el egy olyan eszköz, amivel a tesztalany beállíthatja a felharmonikusaknak azt az arányát, aminél a leghangosabbnak érzi a hallott hangot. Az eszköz készítésének megelőző lépésénél ismertetésre kerül milyen elven lehetséges a felharmonikusak képzése analóg elektronikus eszközökkel. Majd a kapcsolási rajz, és az azon lévő egyes megoldások láthatóak, mellékelve nyomtatott áramköri terv.</w:t>
      </w:r>
      <w:r>
        <w:rPr>
          <w:color w:val="000000"/>
          <w:sz w:val="24"/>
          <w:szCs w:val="24"/>
        </w:rPr>
        <w:br/>
        <w:t xml:space="preserve">Az ezeket követő részben pedig a készülék használatához ad segédletet, és a készülék használatával kapott algoritmus jövőbeni alkalmazási lehetőségeit is felvázolja.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25926">
    <w:multiLevelType w:val="hybridMultilevel"/>
    <w:lvl w:ilvl="0" w:tplc="11961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25926">
    <w:abstractNumId w:val="50125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97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