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ENIKŐ</w:t>
            </w:r>
          </w:p>
          <w:p w:rsidR="00C275A3" w:rsidRDefault="00A96AEC" w:rsidP="00C275A3">
            <w:pPr>
              <w:pStyle w:val="Hallgatokepzes"/>
            </w:pPr>
            <w:r>
              <w:t>Langue, Littérature et Civilisation Françaises</w:t>
            </w:r>
            <w:r>
              <w:br/>
            </w:r>
            <w:r w:rsidR="00E77B23">
              <w:t>MA, 4. semester</w:t>
            </w:r>
          </w:p>
          <w:p w:rsidR="00C265CE" w:rsidRPr="009E5FF1" w:rsidRDefault="00E77B23" w:rsidP="009763E0">
            <w:pPr>
              <w:pStyle w:val="Hallgatointezmeny-kar"/>
              <w:rPr>
                <w:b/>
                <w:caps/>
              </w:rPr>
            </w:pPr>
            <w:r>
              <w:t>Université de Szeged</w:t>
            </w:r>
            <w:r w:rsidR="00C275A3">
              <w:br/>
            </w:r>
            <w:r w:rsidR="00DB4822">
              <w:t>Faculté des Lettres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PENKE Olga</w:t>
            </w:r>
          </w:p>
          <w:p w:rsidR="00DB4822" w:rsidRDefault="00DB4822" w:rsidP="009763E0">
            <w:pPr>
              <w:pStyle w:val="Konzulensektitulus"/>
            </w:pPr>
            <w:r w:rsidRPr="00DB4822">
              <w:t>Professeur,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 place de l'enfant dans la famille et dans la société chez Diderot és chez Rousseau</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Dans ce travail, nous envisageons de présenter la conception de Diderot sur l’enfance et sur l’éducation, mise parallèle avec celle de Rousseau dont les idées ont été plus connues déjà au 18e siècle, et ont exercées une influence beaucoup plus importante sur la pédagogie que celles de son « frère-ennemi ». Nous avons analysé un corpus de genres très variés : les Mélanges pour Catherine II et le Plan d’une Université destinés à l’impératrice de Russie, la fiction intitulée Neveu de Rameau et une lettre À la comtesse de Forbach de Diderot ; et comme textes de référence, nous avons pris en considération l’Émile ou de l’éducation et le roman intitulé Julie ou la Nouvelle Héloïse de Rousseau.</w:t>
      </w:r>
      <w:r>
        <w:rPr>
          <w:color w:val="000000"/>
          <w:sz w:val="24"/>
          <w:szCs w:val="24"/>
        </w:rPr>
        <w:br/>
        <w:t xml:space="preserve">Dans la première partie, nous présentons les modifications intervenues dans l’éducation au cours de la seconde moitié du siècle. Nous démontrons que l’enfant occupe une place de plus en plus importante tant dans la famille que dans la société dont nous essayons de révéler les causes dans l’intérêt accordé à ce sujet par presque tous les penseurs de ce siècle.</w:t>
      </w:r>
      <w:r>
        <w:rPr>
          <w:color w:val="000000"/>
          <w:sz w:val="24"/>
          <w:szCs w:val="24"/>
        </w:rPr>
        <w:br/>
        <w:t xml:space="preserve">Dans la partie suivante, nous concentrons notre analyse à l’éducation de l’homme social chez les deux philosophes. En dépassant l’éducation conventuelle, Diderot propose une instruction obligatoire et gratuite mise sous l’autorité de l’État, pour tous les membres de la société. Rousseau, opposé également à l’instructions dans des couvents, exclut les personnes de basse extraction de son éducation « naturelle ».</w:t>
      </w:r>
      <w:r>
        <w:rPr>
          <w:color w:val="000000"/>
          <w:sz w:val="24"/>
          <w:szCs w:val="24"/>
        </w:rPr>
        <w:br/>
        <w:t xml:space="preserve">Dans la troisième partie, nous étudions la nouvelle place de l’enfant dans la famille. Les deux philosophes sont d’accord sur le fait que les parents doivent prendre plus de responsabilité dans l’éducation de leurs enfants au lieu de les confier à une nourrice. Ils ont par contre des idées différentes sur la relation d’infériorité entre la mère et le père et leurs parties prises dans l’instruction. Diderot pense que les parents sont égaux et tous les deux doivent participer à l’éducation des enfants, tandis que dans les ouvrages de Rousseau, la femme est toujours inférieure à l’homme, et elle ne s’occupe que de l’éducation des filles. Ils attribuent une grande importance aux maîtres qui préparent les enfants à agir dans le monde, mais contrairement à l’idée « naturelle » de Rousseau, Diderot voudrait éduquer l’enfant dans des cadres institutionnels.</w:t>
      </w:r>
      <w:r>
        <w:rPr>
          <w:color w:val="000000"/>
          <w:sz w:val="24"/>
          <w:szCs w:val="24"/>
        </w:rPr>
        <w:br/>
        <w:t xml:space="preserve">Les deux philosophes donnent donc des réponses parfois assez divergentes aux mêmes problèmes sociaux de leur époque qui constituent la base de leur réflexion.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68742">
    <w:multiLevelType w:val="hybridMultilevel"/>
    <w:lvl w:ilvl="0" w:tplc="229534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68742">
    <w:abstractNumId w:val="255687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6594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