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ZSOLT FICZERE</w:t>
            </w:r>
          </w:p>
          <w:p w:rsidR="00C275A3" w:rsidRDefault="00A96AEC" w:rsidP="00C275A3">
            <w:pPr>
              <w:pStyle w:val="Hallgatokepzes"/>
            </w:pPr>
            <w:r>
              <w:t>Business administration</w:t>
            </w:r>
            <w:r>
              <w:br/>
            </w:r>
            <w:r w:rsidR="00E77B23">
              <w:t>BA, 5.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Kovácsné Sipos, PhD</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reduction of delinquent taxes by the verifying tools of the tax office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tax gap, tax morale, verifying tools, case law, tax authority</w:t>
      </w:r>
      <w:r>
        <w:t xml:space="preserve"/>
      </w:r>
    </w:p>
    <w:p>
      <w:pPr>
        <w:widowControl w:val="on"/>
        <w:pBdr/>
        <w:spacing w:before="240" w:after="240" w:line="240" w:lineRule="auto"/>
        <w:ind w:left="0" w:right="0"/>
        <w:jc w:val="left"/>
      </w:pPr>
      <w:r>
        <w:rPr>
          <w:color w:val="000000"/>
          <w:sz w:val="24"/>
          <w:szCs w:val="24"/>
        </w:rPr>
        <w:t xml:space="preserve">The main question of my study is what causes the significant tax gap in Hungary. Is it the inappropriate use of the verifying tools of the tax authority or the low tax morale? My aim is to inspect how efficient are these tools in the Hungarian taxation and how these tools could be improved.</w:t>
      </w:r>
    </w:p>
    <w:p>
      <w:pPr>
        <w:widowControl w:val="on"/>
        <w:pBdr/>
        <w:spacing w:before="240" w:after="240" w:line="240" w:lineRule="auto"/>
        <w:ind w:left="0" w:right="0"/>
        <w:jc w:val="left"/>
      </w:pPr>
      <w:r>
        <w:rPr>
          <w:color w:val="000000"/>
          <w:sz w:val="24"/>
          <w:szCs w:val="24"/>
        </w:rPr>
        <w:br/>
        <w:t xml:space="preserve">First of all, I examine Hungarian tax morale by using statistical data and research. After that I present the rules of taxation, laws and jurisdiction as well as the verifying tools used by the Hungarian Tax Authority.</w:t>
      </w:r>
    </w:p>
    <w:p>
      <w:pPr>
        <w:widowControl w:val="on"/>
        <w:pBdr/>
        <w:spacing w:before="240" w:after="240" w:line="240" w:lineRule="auto"/>
        <w:ind w:left="0" w:right="0"/>
        <w:jc w:val="left"/>
      </w:pPr>
      <w:r>
        <w:rPr>
          <w:color w:val="000000"/>
          <w:sz w:val="24"/>
          <w:szCs w:val="24"/>
        </w:rPr>
        <w:br/>
        <w:t xml:space="preserve">After presenting the Hungarian tools, I introduce two countries’ tax system from the European Union - the United Kingdom and Austria. In the UK I examine the process of taxation in case law. In Austria I mainly characterize the modern tools, which can be compared with Hungarian ones.</w:t>
      </w:r>
    </w:p>
    <w:p>
      <w:pPr>
        <w:widowControl w:val="on"/>
        <w:pBdr/>
        <w:spacing w:before="240" w:after="240" w:line="240" w:lineRule="auto"/>
        <w:ind w:left="0" w:right="0"/>
        <w:jc w:val="left"/>
      </w:pPr>
      <w:r>
        <w:rPr>
          <w:color w:val="000000"/>
          <w:sz w:val="24"/>
          <w:szCs w:val="24"/>
        </w:rPr>
        <w:br/>
        <w:t xml:space="preserve">After the international comparison I present my questionnaire in which I ask questions about tax morale and tax gap in Hungary in order to examine my theory in a quantitative method. The sample is consisted of 119 people, students, employees, leaders and CEOs.</w:t>
      </w:r>
    </w:p>
    <w:p>
      <w:pPr>
        <w:widowControl w:val="on"/>
        <w:pBdr/>
        <w:spacing w:before="240" w:after="240" w:line="240" w:lineRule="auto"/>
        <w:ind w:left="0" w:right="0"/>
        <w:jc w:val="left"/>
      </w:pPr>
      <w:r>
        <w:rPr>
          <w:color w:val="000000"/>
          <w:sz w:val="24"/>
          <w:szCs w:val="24"/>
        </w:rPr>
        <w:br/>
        <w:t xml:space="preserve">As a result at the end of my study I summarize the different aspects, observations and I give ideas how to improve the efficiency of the verifying tools of Hungarian Tax Authority and what other tools should be introduced.</w:t>
      </w:r>
    </w:p>
    <w:p>
      <w:pPr>
        <w:widowControl w:val="on"/>
        <w:pBdr/>
        <w:spacing w:before="240" w:after="240" w:line="240" w:lineRule="auto"/>
        <w:ind w:left="0" w:right="0"/>
        <w:jc w:val="left"/>
      </w:pPr>
      <w:r>
        <w:rPr>
          <w:color w:val="000000"/>
          <w:sz w:val="24"/>
          <w:szCs w:val="24"/>
        </w:rPr>
        <w:br/>
        <w:t xml:space="preserve">My main observation is that building an efficient information technology network is the most important aspect. With this, auditing taxation would become faster and easier. To introduce these measures, techniques the international tax practice has to be considered. Also a strategy has to be set in order to implement the appropriate methods and control the system continuously.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61613">
    <w:multiLevelType w:val="hybridMultilevel"/>
    <w:lvl w:ilvl="0" w:tplc="87467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61613">
    <w:abstractNumId w:val="48461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125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