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NÉMETH</w:t>
            </w:r>
          </w:p>
          <w:p w:rsidR="00C275A3" w:rsidRDefault="00A96AEC" w:rsidP="00C275A3">
            <w:pPr>
              <w:pStyle w:val="Hallgatokepzes"/>
            </w:pPr>
            <w:r>
              <w:t>Public service</w:t>
            </w:r>
            <w:r>
              <w:br/>
            </w:r>
            <w:r w:rsidR="00E77B23">
              <w:t>BA, 3. semester</w:t>
            </w:r>
          </w:p>
          <w:p w:rsidR="00C265CE" w:rsidRPr="009E5FF1" w:rsidRDefault="00E77B23" w:rsidP="00BA6BAF">
            <w:pPr>
              <w:pStyle w:val="Hallgatointezmeny-kar"/>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Balázsné Lendvai Marietta</w:t>
            </w:r>
          </w:p>
          <w:p w:rsidR="00DB4822" w:rsidRDefault="00DB4822" w:rsidP="00BA6BAF">
            <w:pPr>
              <w:pStyle w:val="Konzulensektitulus"/>
            </w:pPr>
            <w:r w:rsidRPr="00DB4822">
              <w:t>Assistant Professor, BGF GKZ</w:t>
            </w:r>
          </w:p>
        </w:tc>
      </w:tr>
      <w:tr w:rsidR="00DB4822" w:rsidTr="00DB4822">
        <w:tc>
          <w:tcPr>
            <w:tcW w:w="9854" w:type="dxa"/>
          </w:tcPr>
          <w:p w:rsidR="00DB4822" w:rsidRPr="00DB4822" w:rsidRDefault="00DB4822" w:rsidP="00BA6BAF">
            <w:pPr>
              <w:pStyle w:val="Konzulenseknev"/>
            </w:pPr>
            <w:r w:rsidRPr="00DB4822">
              <w:t>Dr. Antal Anita</w:t>
            </w:r>
          </w:p>
          <w:p w:rsidR="00DB4822" w:rsidRDefault="00DB4822" w:rsidP="00BA6BAF">
            <w:pPr>
              <w:pStyle w:val="Konzulensektitulus"/>
            </w:pPr>
            <w:r w:rsidRPr="00DB4822">
              <w:t>College Professor,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1+1 % TAX CULTURE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1+1 % TAX CULTURE</w:t>
      </w:r>
      <w:r>
        <w:t xml:space="preserve"/>
      </w:r>
    </w:p>
    <w:p>
      <w:pPr>
        <w:widowControl w:val="on"/>
        <w:pBdr/>
        <w:spacing w:before="240" w:after="240" w:line="240" w:lineRule="auto"/>
        <w:ind w:left="0" w:right="0"/>
        <w:jc w:val="left"/>
      </w:pPr>
      <w:r>
        <w:rPr>
          <w:color w:val="000000"/>
          <w:sz w:val="24"/>
          <w:szCs w:val="24"/>
        </w:rPr>
        <w:t xml:space="preserve">The act CXXVI of 1996 on the use of a specified amount of personal income tax for public purposes in accordance with the taxpayer’s instruction enables individuals to dispose certain part of their personal income tax. Thereby, a new form of financing in the non-profit sector appeared in the Visegrád countries in the second half of the 90s, which allowed the taxpayer to offer the 1-1% of the personal income tax to a church, budget estimate or non-governmental organization indicated by one. However, the awareness of the taxpayers is essential to this. What factors could be hidden behind these decisions?</w:t>
      </w:r>
      <w:r>
        <w:rPr>
          <w:color w:val="000000"/>
          <w:sz w:val="24"/>
          <w:szCs w:val="24"/>
        </w:rPr>
        <w:br/>
        <w:t xml:space="preserve">If someone does not offer the 1-1%, what could be the reason for that? Passivity, which means that one does not care or does not even know about the offering possibilities, or maybe one considers the state budget to be the most suitable for using his tax rate? The decision between offering and not offering is in the hands of the taxpayer and the outcome of the decision depends largely on the awareness of the taxable person. The final choice will significantly affect the operation, development and survival of an organization, foundation, church, etc.., because the cumulative donations help unspeakably lot. According to the statements made by the CSO, the number of both the offerers and beneficiaries and also the offered amount has increased year by year, but in consequence of the economic crisis the offered tax amount turned downside. Is this due to the coverage of taxpayers?</w:t>
      </w:r>
      <w:r>
        <w:rPr>
          <w:color w:val="000000"/>
          <w:sz w:val="24"/>
          <w:szCs w:val="24"/>
        </w:rPr>
        <w:br/>
        <w:t xml:space="preserve">My aim was therefore to look for answers to the questions above and to form an even more detailed picture of the taxpayers’ offering behaviour relying on the results of existing researches. My primary research examines thoroughly the key trends that determine the behaviour of the taxable society, for example:</w:t>
      </w:r>
      <w:r>
        <w:rPr>
          <w:color w:val="000000"/>
          <w:sz w:val="24"/>
          <w:szCs w:val="24"/>
        </w:rPr>
        <w:br/>
        <w:t xml:space="preserve">– Do the taxpayers prepare their tax returns themselves or do they have it done by someone?</w:t>
      </w:r>
      <w:r>
        <w:rPr>
          <w:color w:val="000000"/>
          <w:sz w:val="24"/>
          <w:szCs w:val="24"/>
        </w:rPr>
        <w:br/>
        <w:t xml:space="preserve">– Are they aware of their offering possibilities?</w:t>
      </w:r>
      <w:r>
        <w:rPr>
          <w:color w:val="000000"/>
          <w:sz w:val="24"/>
          <w:szCs w:val="24"/>
        </w:rPr>
        <w:br/>
        <w:t xml:space="preserve">– Do they dispose of the 1-1% of their personal income tax?</w:t>
      </w:r>
      <w:r>
        <w:rPr>
          <w:color w:val="000000"/>
          <w:sz w:val="24"/>
          <w:szCs w:val="24"/>
        </w:rPr>
        <w:br/>
        <w:t xml:space="preserve">– If so, according to what viewpoints?</w:t>
      </w:r>
      <w:r>
        <w:rPr>
          <w:color w:val="000000"/>
          <w:sz w:val="24"/>
          <w:szCs w:val="24"/>
        </w:rPr>
        <w:br/>
        <w:t xml:space="preserve">– If not, why?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94215">
    <w:multiLevelType w:val="hybridMultilevel"/>
    <w:lvl w:ilvl="0" w:tplc="73080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94215">
    <w:abstractNumId w:val="841942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190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