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JENO BARANYAI</w:t>
            </w:r>
          </w:p>
          <w:p w:rsidR="00C275A3" w:rsidRDefault="00A96AEC" w:rsidP="00C275A3">
            <w:pPr>
              <w:pStyle w:val="Hallgatokepzes"/>
            </w:pPr>
            <w:r>
              <w:t>International Business</w:t>
            </w:r>
            <w:r>
              <w:br/>
            </w:r>
            <w:r w:rsidR="00E77B23">
              <w:t>BA, 5. semester</w:t>
            </w:r>
          </w:p>
          <w:p w:rsidR="00C265CE" w:rsidRPr="009E5FF1" w:rsidRDefault="00E77B23" w:rsidP="00BA6BAF">
            <w:pPr>
              <w:pStyle w:val="Hallgatointezmeny-kar"/>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TAMAS TOMCSANYI</w:t>
            </w:r>
          </w:p>
          <w:p w:rsidR="00DB4822" w:rsidRDefault="00C275A3" w:rsidP="004D7940">
            <w:pPr>
              <w:pStyle w:val="Hallgatokepzes"/>
            </w:pPr>
            <w:r>
              <w:t>Trade and Marketing</w:t>
            </w:r>
            <w:r w:rsidR="00A96AEC">
              <w:br/>
              <w:t>BA, 5. semester</w:t>
            </w:r>
          </w:p>
          <w:p w:rsidR="00DB4822" w:rsidRDefault="00DB4822" w:rsidP="004D7940">
            <w:pPr>
              <w:pStyle w:val="Hallgatointezmeny-kar"/>
            </w:pPr>
            <w:r>
              <w:t>Budapest Business School</w:t>
            </w:r>
          </w:p>
          <w:p w:rsidR="00C265CE" w:rsidRPr="009E5FF1" w:rsidRDefault="00DB4822" w:rsidP="004D7940">
            <w:pPr>
              <w:pStyle w:val="Hallgatointezmeny-kar"/>
              <w:rPr>
                <w:b/>
                <w:caps/>
              </w:rPr>
            </w:pPr>
            <w:r>
              <w:t>College of International Management and Business</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Balazs Ferkelt</w:t>
            </w:r>
          </w:p>
          <w:p w:rsidR="00DB4822" w:rsidRDefault="00DB4822" w:rsidP="00BA6BAF">
            <w:pPr>
              <w:pStyle w:val="Konzulensektitulus"/>
            </w:pPr>
            <w:r w:rsidRPr="00DB4822">
              <w:t>Associate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new legislation on the distribution and consumption of tobacco products in Hungary in an international outlook / Az új törvényi szabályozás hatásainak vizsgálata a dohánytermékek fogyasztására és disztribúciójára Magyarországon nemzetközi összehasonlításban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tobacco law; consumer pattern; international; national</w:t>
      </w:r>
      <w:r>
        <w:t xml:space="preserve"/>
      </w:r>
    </w:p>
    <w:p>
      <w:pPr>
        <w:widowControl w:val="on"/>
        <w:pBdr/>
        <w:spacing w:before="240" w:after="240" w:line="240" w:lineRule="auto"/>
        <w:ind w:left="0" w:right="0"/>
        <w:jc w:val="left"/>
      </w:pPr>
      <w:r>
        <w:rPr>
          <w:color w:val="000000"/>
          <w:sz w:val="24"/>
          <w:szCs w:val="24"/>
        </w:rPr>
        <w:t xml:space="preserve">Résumé</w:t>
      </w:r>
    </w:p>
    <w:p>
      <w:pPr>
        <w:widowControl w:val="on"/>
        <w:pBdr/>
        <w:spacing w:before="240" w:after="240" w:line="240" w:lineRule="auto"/>
        <w:ind w:left="0" w:right="0"/>
        <w:jc w:val="left"/>
      </w:pPr>
      <w:r>
        <w:rPr>
          <w:color w:val="000000"/>
          <w:sz w:val="24"/>
          <w:szCs w:val="24"/>
        </w:rPr>
        <w:t xml:space="preserve">Nowadays the new law of the trade in tobacco and its effect is a great concern of the Hungarian public opinion. Primarily our dissertation reveals the short-term effects of the new legal and economic situation, which have a huge influence on the lives of the Hungarian consumers. The long-term effects are examined on the basis of the examples of the European Member States. There are similar exercises in the neighboring countries, but it can be said that in these countries the relevant laws have been in effect for several years, therefore both the short and long term effects can be examined thoroughly. Moreover we have investigated the changes of the consumer patterns with the help of our primary research which reached a considerably great amount of people.</w:t>
      </w:r>
    </w:p>
    <w:p>
      <w:pPr>
        <w:widowControl w:val="on"/>
        <w:pBdr/>
        <w:spacing w:before="240" w:after="240" w:line="240" w:lineRule="auto"/>
        <w:ind w:left="0" w:right="0"/>
        <w:jc w:val="left"/>
      </w:pPr>
      <w:r>
        <w:rPr>
          <w:color w:val="000000"/>
          <w:sz w:val="24"/>
          <w:szCs w:val="24"/>
        </w:rPr>
        <w:br/>
        <w:t xml:space="preserve">In our dissertation we leave aside and ignore the political views and opinions of the tobacco law, the research is only concentrated on the economic effects and further possible consumer changes. In our research we will discuss the structure and functioning of the retail network, while pointing out the advantages and disadvantages as well. As a result of the law, we can say that a new kind of retail unit was created, which could not be found in the history of our country. It is a fact now that consumers have felt the price increase of the tobacco products thus they have found several possibilities to decrease their expenditure with alternative products and sources. In the European Union, as in our country, the government is interested in maintaining the health of the population and put emphasis on the tobacco control for the underaged ones. The new law strictly regulates and manages it with adequate seriousness. We also examine this provision and the specific achievements of the recent tobacco law.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27480">
    <w:multiLevelType w:val="hybridMultilevel"/>
    <w:lvl w:ilvl="0" w:tplc="71272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27480">
    <w:abstractNumId w:val="962274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10710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