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TAKACS</w:t>
            </w:r>
          </w:p>
          <w:p w:rsidR="00C275A3" w:rsidRDefault="00A96AEC" w:rsidP="00C275A3">
            <w:pPr>
              <w:pStyle w:val="Hallgatokepzes"/>
            </w:pPr>
            <w:r>
              <w:t>trade and marketing</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Lucia Vass dr.</w:t>
            </w:r>
          </w:p>
          <w:p w:rsidR="00DB4822" w:rsidRDefault="00DB4822" w:rsidP="00E11062">
            <w:pPr>
              <w:pStyle w:val="Konzulensek"/>
            </w:pPr>
            <w:r w:rsidRPr="00DB4822">
              <w:t>senior lecturer,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Return from the Other side or 'you can't go it alone'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present paper is concerned with a highly topical and widely relevant issue these days: convicts serving their sentences, often seen as ‘the negative’ figures of society.</w:t>
      </w:r>
    </w:p>
    <w:p>
      <w:pPr>
        <w:widowControl w:val="on"/>
        <w:pBdr/>
        <w:spacing w:before="240" w:after="240" w:line="240" w:lineRule="auto"/>
        <w:ind w:left="0" w:right="0"/>
        <w:jc w:val="left"/>
      </w:pPr>
      <w:r>
        <w:rPr>
          <w:color w:val="000000"/>
          <w:sz w:val="24"/>
          <w:szCs w:val="24"/>
        </w:rPr>
        <w:t xml:space="preserve">It is of vital importance to explore why an individual comes to have a criminal record and what circumstances prompt someone to be the perpetrator of a crime since knowledge of such causes increases the potential for pre-emptive measures and prevention.</w:t>
      </w:r>
      <w:r>
        <w:rPr>
          <w:color w:val="000000"/>
          <w:sz w:val="24"/>
          <w:szCs w:val="24"/>
        </w:rPr>
        <w:br/>
        <w:t xml:space="preserve">By the same token, it is equally important to examine in what ways convicts serving their sentences can integrate into society, and whether they succeed in finding their way back to the right path again, which society regards as acceptable. The present paper was motivated by such queries.</w:t>
      </w:r>
      <w:r>
        <w:rPr>
          <w:color w:val="000000"/>
          <w:sz w:val="24"/>
          <w:szCs w:val="24"/>
        </w:rPr>
        <w:br/>
        <w:t xml:space="preserve">More specifically, questions, like whose assistance may be sought during this process, and how support could be rendered most effective, were also addressed. As part of the primary and secondary research, practical examples and proposed solutions from Hungarian and international settings were reviewed.</w:t>
      </w:r>
      <w:r>
        <w:rPr>
          <w:color w:val="000000"/>
          <w:sz w:val="24"/>
          <w:szCs w:val="24"/>
        </w:rPr>
        <w:br/>
        <w:t xml:space="preserve">Based on criminological data, trends in criminal activities were identified for the Hungarian context. By means of secondary research methods, insights were gained into what actually happens to a convict after a definitive judgement has been pronounced, and under what circumstances and conditions a typical convict must serve his or her sentence. An attempt was also made to demonstrate that the payoff of a prison sentence for society is not always justified.</w:t>
      </w:r>
      <w:r>
        <w:rPr>
          <w:color w:val="000000"/>
          <w:sz w:val="24"/>
          <w:szCs w:val="24"/>
        </w:rPr>
        <w:br/>
        <w:t xml:space="preserve">In Hungary, in addition to the Department of Mentorship and Supervision, countless charity- and church organisations work on mentoring convicted prison inmates. The present paper provides an overview of the activities of such organisations, with special attention to post-prison care, re-socialisation and the opportunities after release.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950571">
    <w:multiLevelType w:val="hybridMultilevel"/>
    <w:lvl w:ilvl="0" w:tplc="224629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950571">
    <w:abstractNumId w:val="809505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7335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