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VERES</w:t>
            </w:r>
          </w:p>
          <w:p w:rsidR="00C275A3" w:rsidRDefault="00A96AEC" w:rsidP="00C275A3">
            <w:pPr>
              <w:pStyle w:val="Hallgatokepzes"/>
            </w:pPr>
            <w:r>
              <w:t>Human Resources</w:t>
            </w:r>
            <w:r>
              <w:br/>
            </w:r>
            <w:r w:rsidR="00E77B23">
              <w:t>BA, 7.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Laura Hidegh</w:t>
            </w:r>
          </w:p>
          <w:p w:rsidR="00DB4822" w:rsidRDefault="00DB4822" w:rsidP="00E11062">
            <w:pPr>
              <w:pStyle w:val="Konzulensek"/>
            </w:pPr>
            <w:r w:rsidRPr="00DB4822">
              <w:t>assistant professor, BGF PSZK</w:t>
            </w:r>
          </w:p>
        </w:tc>
      </w:tr>
      <w:tr w:rsidR="00DB4822" w:rsidTr="00DB4822">
        <w:tc>
          <w:tcPr>
            <w:tcW w:w="9854" w:type="dxa"/>
          </w:tcPr>
          <w:p w:rsidR="00DB4822" w:rsidRPr="00DB4822" w:rsidRDefault="00DB4822" w:rsidP="004D7940">
            <w:pPr>
              <w:pStyle w:val="Konzulensek"/>
            </w:pPr>
            <w:r w:rsidRPr="00DB4822">
              <w:t>Gáborné Ország</w:t>
            </w:r>
          </w:p>
          <w:p w:rsidR="00DB4822" w:rsidRDefault="00DB4822" w:rsidP="00E11062">
            <w:pPr>
              <w:pStyle w:val="Konzulensek"/>
            </w:pPr>
            <w:r w:rsidRPr="00DB4822">
              <w:t>assistant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Workaholism and students - Work addiction among students of a college faculty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workaholism; work addiction; work-related psychic diseases; undergraduates</w:t>
      </w:r>
      <w:r>
        <w:t xml:space="preserve"/>
      </w:r>
    </w:p>
    <w:p>
      <w:pPr>
        <w:widowControl w:val="on"/>
        <w:pBdr/>
        <w:spacing w:before="240" w:after="240" w:line="240" w:lineRule="auto"/>
        <w:ind w:left="0" w:right="0"/>
        <w:jc w:val="left"/>
      </w:pPr>
      <w:r>
        <w:rPr>
          <w:color w:val="000000"/>
          <w:sz w:val="24"/>
          <w:szCs w:val="24"/>
        </w:rPr>
        <w:t xml:space="preserve">Workaholism is a real interdisciplinary research area. In the last few decades it has aroused the interest among professionals of psychology, psychiatry, sociology, management and several other sciences. The reason is obvious: our work, and therefore work-related physical and psychic diseases, depending on their seriousness, can affect all areas of our lives.</w:t>
      </w:r>
    </w:p>
    <w:p>
      <w:pPr>
        <w:widowControl w:val="on"/>
        <w:pBdr/>
        <w:spacing w:before="240" w:after="240" w:line="240" w:lineRule="auto"/>
        <w:ind w:left="0" w:right="0"/>
        <w:jc w:val="left"/>
      </w:pPr>
      <w:r>
        <w:rPr>
          <w:color w:val="000000"/>
          <w:sz w:val="24"/>
          <w:szCs w:val="24"/>
        </w:rPr>
        <w:t xml:space="preserve">In my study I examine a special group from the point of view of workaholism, the full-time students. Although the number of researches using college and university undergraduates as sample is increasing, students as potential victims of work addiction are still not in an expressed attention.</w:t>
      </w:r>
    </w:p>
    <w:p>
      <w:pPr>
        <w:widowControl w:val="on"/>
        <w:pBdr/>
        <w:spacing w:before="240" w:after="240" w:line="240" w:lineRule="auto"/>
        <w:ind w:left="0" w:right="0"/>
        <w:jc w:val="left"/>
      </w:pPr>
      <w:r>
        <w:rPr>
          <w:color w:val="000000"/>
          <w:sz w:val="24"/>
          <w:szCs w:val="24"/>
        </w:rPr>
        <w:t xml:space="preserve">I would like to shed light on whether pathological work addiction concerns also young adults spending time primarily with studies and not work. Within this question I deal with three major issues. On the one hand it has been unexplored yet how much workaholism is associated to demographic characteristics like gender and age. On the other hand I would like to contribute to the debate that has developed around the question of correlation between work addiction and time spent with work (studies). Thirdly I examine the prejudice claiming that more ambitious or more motivated people become workaholics more easily.</w:t>
      </w:r>
    </w:p>
    <w:p>
      <w:pPr>
        <w:widowControl w:val="on"/>
        <w:pBdr/>
        <w:spacing w:before="240" w:after="240" w:line="240" w:lineRule="auto"/>
        <w:ind w:left="0" w:right="0"/>
        <w:jc w:val="left"/>
      </w:pPr>
      <w:r>
        <w:rPr>
          <w:color w:val="000000"/>
          <w:sz w:val="24"/>
          <w:szCs w:val="24"/>
        </w:rPr>
        <w:t xml:space="preserve">The questionnaire formed for the research has basically three parts. Demographic characteristics of the responder and his/her linkage to the world of studies and work are detected by questions taken from the questionnaire of Graduate Career Tracking System of my college. We can get to know the detailed schedule of the student by self-reported answers. Finally I measure workaholism itself by the questionnaire world-wide in use, known as Work Addiction Risk Test, elaborated by the American psychologist Bryan Robinson. The sample serving as the basis of the research is provided by the full-time students of the college.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59179">
    <w:multiLevelType w:val="hybridMultilevel"/>
    <w:lvl w:ilvl="0" w:tplc="15350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59179">
    <w:abstractNumId w:val="247591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5424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