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CSISZÁR</w:t>
            </w:r>
          </w:p>
          <w:p w:rsidR="00C275A3" w:rsidRDefault="00A96AEC" w:rsidP="00C275A3">
            <w:pPr>
              <w:pStyle w:val="Hallgatokepzes"/>
            </w:pPr>
            <w:r>
              <w:t>Business Administration and Management</w:t>
            </w:r>
            <w:r>
              <w:br/>
            </w:r>
            <w:r w:rsidR="00E77B23">
              <w:t>BA, 9.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Csesznák</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Pension fund speculation - Modelling European investment in stochastic stock market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geometric Brownian motion; Monte Carlo simulation; retirement investment</w:t>
      </w:r>
      <w:r>
        <w:t xml:space="preserve"/>
      </w:r>
    </w:p>
    <w:p>
      <w:pPr>
        <w:widowControl w:val="on"/>
        <w:pBdr/>
        <w:spacing w:before="240" w:after="240" w:line="240" w:lineRule="auto"/>
        <w:ind w:left="0" w:right="0"/>
        <w:jc w:val="left"/>
      </w:pPr>
      <w:r>
        <w:rPr>
          <w:color w:val="000000"/>
          <w:sz w:val="24"/>
          <w:szCs w:val="24"/>
        </w:rPr>
        <w:t xml:space="preserve">The purpose of the research is to model a short term and a long term European investment. The length of the short term investment is one year. In this case we calculate the expected value and the value-at-risk of the investment. The length of the long term investment is 40 years in the base case, which covers the accumulation phase of a retirement investment. In this case we calculate the expected value and the replacement ratio of the investment. The replacement ratio is the ratio of the pension at retirement to the final salary before retirement. The retirement portfolio consists of a risky and a risk-free asset. The composition of the portfolio is based on a risk-averse investor’s utility maximization. The simulation of the stock market returns was done by using normally distributed returns and returns that follow t-distribution as well. The latter captures the heavy tail property of the empirical distribution.</w:t>
      </w:r>
    </w:p>
    <w:p>
      <w:pPr>
        <w:widowControl w:val="on"/>
        <w:pBdr/>
        <w:spacing w:before="240" w:after="240" w:line="240" w:lineRule="auto"/>
        <w:ind w:left="0" w:right="0"/>
        <w:jc w:val="left"/>
      </w:pPr>
      <w:r>
        <w:rPr>
          <w:color w:val="000000"/>
          <w:sz w:val="24"/>
          <w:szCs w:val="24"/>
        </w:rPr>
        <w:t xml:space="preserve">Both models assume that the stock market returns are generated independently from each other and have identical distribution. The SPDR Europe ETF and the 3-month Euribor are the subjects of the research. The observation period covers ten years from 30 June 2003 to 28 June 2013. The normality of the first differences of the ETF daily logarithmic price level was evaluated with parametric and non-parametric statistical tests. The distribution of the daily log returns is symmetric. The peak of the empirical distribution is higher and the tails are thicker than for the normal distribution. The autocorrelation of the daily returns indicate very little predictability. The autocorrelation of the daily squared returns indicate that the European stock market returns possess the statistical property of volatility clustering.</w:t>
      </w:r>
    </w:p>
    <w:p>
      <w:pPr>
        <w:widowControl w:val="on"/>
        <w:pBdr/>
        <w:spacing w:before="240" w:after="240" w:line="240" w:lineRule="auto"/>
        <w:ind w:left="0" w:right="0"/>
        <w:jc w:val="left"/>
      </w:pPr>
      <w:r>
        <w:rPr>
          <w:color w:val="000000"/>
          <w:sz w:val="24"/>
          <w:szCs w:val="24"/>
        </w:rPr>
        <w:t xml:space="preserve">The investment model can be fine-tuned to reflect the individual investor’s living conditions. If the assumptions of the long term investment model are well-founded, then the client will get a financial product that requires acceptable contribution during the accumulation phase and provides a high degree of retirement income security. The result of the stochastic projections can be used to calibrate the key variables so that we can model a retirement investment that is tailor-made for each client. Following some basic principles in retirement planning we can make the decision making process easier and more efficient for the client.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96760">
    <w:multiLevelType w:val="hybridMultilevel"/>
    <w:lvl w:ilvl="0" w:tplc="49524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96760">
    <w:abstractNumId w:val="89396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513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