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KOVÁCS</w:t>
            </w:r>
          </w:p>
          <w:p w:rsidR="00C275A3" w:rsidRDefault="00A96AEC" w:rsidP="00C275A3">
            <w:pPr>
              <w:pStyle w:val="Hallgatokepzes"/>
            </w:pPr>
            <w:r>
              <w:t>Tourism and Catering</w:t>
            </w:r>
            <w:r>
              <w:br/>
            </w:r>
            <w:r w:rsidR="00E77B23">
              <w:t>BA, 3. semester</w:t>
            </w:r>
          </w:p>
          <w:p w:rsidR="00C265CE" w:rsidRPr="009E5FF1" w:rsidRDefault="00E77B23" w:rsidP="00C275A3">
            <w:pPr>
              <w:pStyle w:val="Hallgatokepzes"/>
              <w:rPr>
                <w:b/>
                <w:caps/>
              </w:rPr>
            </w:pPr>
            <w:r>
              <w:t>Budapest Business School</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Éva Fenyvesi</w:t>
            </w:r>
          </w:p>
          <w:p w:rsidR="00DB4822" w:rsidRDefault="00DB4822" w:rsidP="00E11062">
            <w:pPr>
              <w:pStyle w:val="Konzulensek"/>
            </w:pPr>
            <w:r w:rsidRPr="00DB4822">
              <w:t>professor,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eating habits of students attending a higher education institution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consumer decision making; consumer preferences; cosumer behaviour on food products; eating habits of college students;</w:t>
      </w:r>
      <w:r>
        <w:t xml:space="preserve"/>
      </w:r>
    </w:p>
    <w:p>
      <w:pPr>
        <w:widowControl w:val="on"/>
        <w:pBdr/>
        <w:spacing w:before="240" w:after="240" w:line="240" w:lineRule="auto"/>
        <w:ind w:left="0" w:right="0"/>
        <w:jc w:val="left"/>
      </w:pPr>
      <w:r>
        <w:rPr>
          <w:color w:val="000000"/>
          <w:sz w:val="24"/>
          <w:szCs w:val="24"/>
        </w:rPr>
        <w:t xml:space="preserve">„Two Hawaii pizza, please. I’ll tell you the address…” „I’d like to take away a small portion.” „I’d like to have the menu of the day.” – Sentences that people say more often during their college years; or at least I thought so based on my own experiences.</w:t>
      </w:r>
      <w:r>
        <w:rPr>
          <w:color w:val="000000"/>
          <w:sz w:val="24"/>
          <w:szCs w:val="24"/>
        </w:rPr>
        <w:br/>
        <w:t xml:space="preserve">After starting my higher education studies in 2012 I started having not only new courses but some new habits, too. My changig everyday life involved some new eating habits. Do all of us have this experience? What kind of things have an effect on this change? What kind of places do we prefer when it is time to have luch? Does the fact that we live in the capital or not has an influence on our eating habits? These questions and a lot of other ones gave me the idea of making a study on the eating habits of students in one of the campuses of the college I attend.</w:t>
      </w:r>
      <w:r>
        <w:rPr>
          <w:color w:val="000000"/>
          <w:sz w:val="24"/>
          <w:szCs w:val="24"/>
        </w:rPr>
        <w:br/>
        <w:t xml:space="preserve">I also used the data and consequences of some previous studies on cosumer behaviour putting the most emphasis on consumer behaviour on food products. Moreover, I made a primer questionnaire study. Finally I set up some consequences based on the collected data.</w:t>
      </w:r>
      <w:r>
        <w:rPr>
          <w:color w:val="000000"/>
          <w:sz w:val="24"/>
          <w:szCs w:val="24"/>
        </w:rPr>
        <w:br/>
        <w:t xml:space="preserve">I also made the restaurant of our campus be part of the study. This way the results can be useful not only for those who are interested in this topic, but also for the management of the restaurant to rationalize its operation.</w:t>
      </w:r>
    </w:p>
    <w:p>
      <w:pPr>
        <w:widowControl w:val="on"/>
        <w:pBdr/>
        <w:spacing w:before="240" w:after="240" w:line="240" w:lineRule="auto"/>
        <w:ind w:left="0" w:right="0"/>
        <w:jc w:val="left"/>
      </w:pPr>
      <w:r>
        <w:rPr>
          <w:color w:val="000000"/>
          <w:sz w:val="24"/>
          <w:szCs w:val="24"/>
        </w:rPr>
        <w:drawing>
          <wp:inline distT="0" distB="0" distL="0" distR="0">
            <wp:extent cx="3996000" cy="2577600"/>
            <wp:docPr id="18737193" name="name154a92ab07d97d" descr="imgtmp_26520_in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6520_int_1.png"/>
                    <pic:cNvPicPr/>
                  </pic:nvPicPr>
                  <pic:blipFill>
                    <a:blip r:embed="rId154a92ab07d91e" cstate="print"/>
                    <a:stretch>
                      <a:fillRect/>
                    </a:stretch>
                  </pic:blipFill>
                  <pic:spPr>
                    <a:xfrm>
                      <a:off x="0" y="0"/>
                      <a:ext cx="3996000" cy="25776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Reference: Pilgrim, F.J. [1957] The Components of Food Acceptance and Their Measurement. In: American Journal of Clinical Nutrition 5 (171-175. 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187286">
    <w:multiLevelType w:val="hybridMultilevel"/>
    <w:lvl w:ilvl="0" w:tplc="550186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187286">
    <w:abstractNumId w:val="341872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3715587" Type="http://schemas.openxmlformats.org/officeDocument/2006/relationships/numbering" Target="numbering.xml"/><Relationship Id="rId154a92ab07d91e" Type="http://schemas.openxmlformats.org/officeDocument/2006/relationships/image" Target="media/imgrId154a92ab07d91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