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PÉTERI BARBARA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BGF GKZ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Deákné Gál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Elkerülhetetlen változások - Az Apáczai Óvoda és ÁMK mindennapjai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közpénzügy;strukturált interjú; esettanulmány;köznevelés;elemzés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Mai világunkban, amikor változások változásokat követnek szükségünk van stabil, megbízható</w:t>
      </w:r>
      <w:r>
        <w:rPr>
          <w:color w:val="000000"/>
          <w:sz w:val="24"/>
          <w:szCs w:val="24"/>
        </w:rPr>
        <w:br/>
        <w:t xml:space="preserve">intézményekre, amelyek szolgáltatásait igénybe vehetjük. Beszélhetünk akár gyermekeink</w:t>
      </w:r>
      <w:r>
        <w:rPr>
          <w:color w:val="000000"/>
          <w:sz w:val="24"/>
          <w:szCs w:val="24"/>
        </w:rPr>
        <w:br/>
        <w:t xml:space="preserve">tanításáról, neveléséről, akár mások által szintén igénybe vehető sport-, művelődési-,</w:t>
      </w:r>
      <w:r>
        <w:rPr>
          <w:color w:val="000000"/>
          <w:sz w:val="24"/>
          <w:szCs w:val="24"/>
        </w:rPr>
        <w:br/>
        <w:t xml:space="preserve">szórakozási lehetőségekről. Ezen közfinanszírozású területen lát el feladatokat a pécsi Apáczai</w:t>
      </w:r>
      <w:r>
        <w:rPr>
          <w:color w:val="000000"/>
          <w:sz w:val="24"/>
          <w:szCs w:val="24"/>
        </w:rPr>
        <w:br/>
        <w:t xml:space="preserve">Óvoda és Általános Művelődési Központ.</w:t>
      </w:r>
      <w:r>
        <w:rPr>
          <w:color w:val="000000"/>
          <w:sz w:val="24"/>
          <w:szCs w:val="24"/>
        </w:rPr>
        <w:br/>
        <w:t xml:space="preserve">A Központ többcélú, közös igazgatású, köznevelési intézmény, amely feladatait szakmailag</w:t>
      </w:r>
      <w:r>
        <w:rPr>
          <w:color w:val="000000"/>
          <w:sz w:val="24"/>
          <w:szCs w:val="24"/>
        </w:rPr>
        <w:br/>
        <w:t xml:space="preserve">önálló, egymással együttműködő, tevékenységüket összehangoló tagintézményekből álló</w:t>
      </w:r>
      <w:r>
        <w:rPr>
          <w:color w:val="000000"/>
          <w:sz w:val="24"/>
          <w:szCs w:val="24"/>
        </w:rPr>
        <w:br/>
        <w:t xml:space="preserve">egységes intézményként látja el. Pécs legnagyobb, legalább 60 ezres lakosú déli városrészében</w:t>
      </w:r>
      <w:r>
        <w:rPr>
          <w:color w:val="000000"/>
          <w:sz w:val="24"/>
          <w:szCs w:val="24"/>
        </w:rPr>
        <w:br/>
        <w:t xml:space="preserve">1979 óta működő oktatási, nevelési, kulturális és sportintézmény fennállásának több mint 30</w:t>
      </w:r>
      <w:r>
        <w:rPr>
          <w:color w:val="000000"/>
          <w:sz w:val="24"/>
          <w:szCs w:val="24"/>
        </w:rPr>
        <w:br/>
        <w:t xml:space="preserve">esztendeje alatt a magyar pedagógiai, kulturális szakmában jelképes intézménynek számított és</w:t>
      </w:r>
      <w:r>
        <w:rPr>
          <w:color w:val="000000"/>
          <w:sz w:val="24"/>
          <w:szCs w:val="24"/>
        </w:rPr>
        <w:br/>
        <w:t xml:space="preserve">számít mind a mai napig, szétdarabolása ellenére is.</w:t>
      </w:r>
      <w:r>
        <w:rPr>
          <w:color w:val="000000"/>
          <w:sz w:val="24"/>
          <w:szCs w:val="24"/>
        </w:rPr>
        <w:br/>
        <w:t xml:space="preserve">Kutatásom az Apáczai Óvoda és Általános Művelődési Központban felmerülő problémák</w:t>
      </w:r>
      <w:r>
        <w:rPr>
          <w:color w:val="000000"/>
          <w:sz w:val="24"/>
          <w:szCs w:val="24"/>
        </w:rPr>
        <w:br/>
        <w:t xml:space="preserve">eredendőségét vizsgálva igyekszik helyzetfeltáró elemzéssel bemutatni a jogszabályi</w:t>
      </w:r>
      <w:r>
        <w:rPr>
          <w:color w:val="000000"/>
          <w:sz w:val="24"/>
          <w:szCs w:val="24"/>
        </w:rPr>
        <w:br/>
        <w:t xml:space="preserve">változásokból eredően elkülönült Művelődési Intézmény életét, mindennapjait.</w:t>
      </w:r>
      <w:r>
        <w:rPr>
          <w:color w:val="000000"/>
          <w:sz w:val="24"/>
          <w:szCs w:val="24"/>
        </w:rPr>
        <w:br/>
        <w:t xml:space="preserve">Az alkalmazott módszertan középpontjában áll az Apáczai Óvoda és ÁMK vizsgálata, a primer</w:t>
      </w:r>
      <w:r>
        <w:rPr>
          <w:color w:val="000000"/>
          <w:sz w:val="24"/>
          <w:szCs w:val="24"/>
        </w:rPr>
        <w:br/>
        <w:t xml:space="preserve">illetve szekunder kutatás során felmerült vizsgálati területek bemutatása.</w:t>
      </w:r>
      <w:r>
        <w:rPr>
          <w:color w:val="000000"/>
          <w:sz w:val="24"/>
          <w:szCs w:val="24"/>
        </w:rPr>
        <w:br/>
        <w:t xml:space="preserve">Szekunder kutatásom az Intézményben eltöltött hetekre épül, archivált adatok, kimutatások, a</w:t>
      </w:r>
      <w:r>
        <w:rPr>
          <w:color w:val="000000"/>
          <w:sz w:val="24"/>
          <w:szCs w:val="24"/>
        </w:rPr>
        <w:br/>
        <w:t xml:space="preserve">dolgozókkal folytatott beszélgetések inspirálták a mélyebb kutatást.</w:t>
      </w:r>
      <w:r>
        <w:rPr>
          <w:color w:val="000000"/>
          <w:sz w:val="24"/>
          <w:szCs w:val="24"/>
        </w:rPr>
        <w:br/>
        <w:t xml:space="preserve">Primer kutatásom a kvalitatív kutatási módszertan tárházából a strukturált interjút és az</w:t>
      </w:r>
      <w:r>
        <w:rPr>
          <w:color w:val="000000"/>
          <w:sz w:val="24"/>
          <w:szCs w:val="24"/>
        </w:rPr>
        <w:br/>
        <w:t xml:space="preserve">esettanulmányt hívja segítségül, a problémák érzékeltetése, megfoghatósága szempontjából.</w:t>
      </w:r>
      <w:r>
        <w:rPr>
          <w:color w:val="000000"/>
          <w:sz w:val="24"/>
          <w:szCs w:val="24"/>
        </w:rPr>
        <w:br/>
        <w:t xml:space="preserve">Tehát a dolgozat egy szerkezeti átalakítást és probléma feltárást összegző dolgozat, amelynek</w:t>
      </w:r>
      <w:r>
        <w:rPr>
          <w:color w:val="000000"/>
          <w:sz w:val="24"/>
          <w:szCs w:val="24"/>
        </w:rPr>
        <w:br/>
        <w:t xml:space="preserve">célja bemutatni, hogy a köznevelési és önkormányzati törvény változása hogyan, miként</w:t>
      </w:r>
      <w:r>
        <w:rPr>
          <w:color w:val="000000"/>
          <w:sz w:val="24"/>
          <w:szCs w:val="24"/>
        </w:rPr>
        <w:br/>
        <w:t xml:space="preserve">alakítja át a működést és a finanszírozást. Igyekszik a változásokból eredő problémákat</w:t>
      </w:r>
      <w:r>
        <w:rPr>
          <w:color w:val="000000"/>
          <w:sz w:val="24"/>
          <w:szCs w:val="24"/>
        </w:rPr>
        <w:br/>
        <w:t xml:space="preserve">bemutatni, ábrázolni, önálló javaslattételeken keresztül megoldásokat keresni.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575795">
    <w:multiLevelType w:val="hybridMultilevel"/>
    <w:lvl w:ilvl="0" w:tplc="641656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575795">
    <w:abstractNumId w:val="505757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0060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