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MOLNAR GABOR</w:t>
            </w:r>
          </w:p>
          <w:p w:rsidR="00C275A3" w:rsidRDefault="00A96AEC" w:rsidP="00C275A3">
            <w:pPr>
              <w:pStyle w:val="Hallgatokepzes"/>
            </w:pPr>
            <w:r>
              <w:t>classical clarinet</w:t>
            </w:r>
            <w:r>
              <w:br/>
            </w:r>
            <w:r w:rsidR="00E77B23">
              <w:t>BA, 5.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Maczák</w:t>
            </w:r>
          </w:p>
          <w:p w:rsidR="00DB4822" w:rsidRDefault="00DB4822" w:rsidP="00E11062">
            <w:pPr>
              <w:pStyle w:val="Konzulensek"/>
            </w:pPr>
            <w:r w:rsidRPr="00DB4822">
              <w:t>Associate professor,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the 20th-century classical music – appearance of new terms on the clarinet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19th and 20th centuries incredible intellectual changes occured in the sociaties, which significantly influenced the arts too. The composers started looking for completely new ways in the music, because they felt inappropriate to use the old forms and effects to express their new thoughts. But the changes did not occure uniformly, as every each country had own musical culture.</w:t>
      </w:r>
      <w:r>
        <w:rPr>
          <w:color w:val="000000"/>
          <w:sz w:val="24"/>
          <w:szCs w:val="24"/>
        </w:rPr>
        <w:br/>
        <w:t xml:space="preserve">To demonstrate using the new effects on the clarinet I chose Respectfully yours, Mr. Goodman by Kamilló Lendvay. The 20th century and the contemporary music demand from the musicians to know these new sound effects, however often takes a long time to experimant and learn them. Nowadays there is no common opinion about whether using the new effects make lively the music or just we only do justice to the composers’ will.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56086">
    <w:multiLevelType w:val="hybridMultilevel"/>
    <w:lvl w:ilvl="0" w:tplc="34057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56086">
    <w:abstractNumId w:val="206560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3000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