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SZOLLOSI</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MÁRTON VARGA</w:t>
            </w:r>
          </w:p>
          <w:p w:rsidR="00DB4822" w:rsidRDefault="00C275A3" w:rsidP="004D7940">
            <w:pPr>
              <w:pStyle w:val="Hallgatokepzes"/>
            </w:pPr>
            <w:r>
              <w:t>Mechanical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Norbert Orbulov, PhD</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Mechanical properties of metal matrix syntactic foams in radially constrained compression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serious problems of our world is the limited supplies of fossil and non-renewable energy sources. This generates saving efforts, and demands new technologies and materials. Out of these, the composite materials have the best potentials. Composite materials made from the combination of two or more different components (matrix and reinforcement), which ensures new properties; for instance they can be stronger and/or lighter than the traditional materials.</w:t>
      </w:r>
      <w:r>
        <w:rPr>
          <w:color w:val="000000"/>
          <w:sz w:val="24"/>
          <w:szCs w:val="24"/>
        </w:rPr>
        <w:br/>
        <w:t xml:space="preserve">In our research, the combination of light metal matrix and hollow sphere reinforcement, called metal matrix syntactic foam was investigated. The metal matrix syntactic foam, has acceptable mechanical properties while it can also maintain low density. This makes it an excellent lightweight structural material, with outstanding strength among ‘conventional’ metallic foams. Their fine heat-, and sound insulating properties makes them very useable in building and vehicle industries.</w:t>
      </w:r>
      <w:r>
        <w:rPr>
          <w:color w:val="000000"/>
          <w:sz w:val="24"/>
          <w:szCs w:val="24"/>
        </w:rPr>
        <w:br/>
        <w:t xml:space="preserve">In our work the radially constrained compressive response of the specimens was investigated. This was justified by the innovation, and by the hidden potential in multiple applications (for example closed cross-section tubes fulfilled with metal matrix syntactic foam applied as collision dampers).</w:t>
      </w:r>
      <w:r>
        <w:rPr>
          <w:color w:val="000000"/>
          <w:sz w:val="24"/>
          <w:szCs w:val="24"/>
        </w:rPr>
        <w:br/>
        <w:t xml:space="preserve">During our research the radially constrained compression and subsequently microscopic analysis were performed on cylindrical the specimens, with particular focus on the microstructural changes. The measured and recorded stress-strain curves were analysed. The ratio of the elastic, and plastic deformation, the amount of the absorbed mechanical energy during compression, the yield point and the structural stiffness were determined and monitored as characteristic material properties for each syntactic foam,. The results of the radially constrained and not constrained compression tests were compared in order to find significant similarities and differences. The behaviour and response of technical purity aluminium (Al99.5) and different aluminium alloy (AlMgSi, AlCu5, AlSi12) matrices , and moreover the effect of different microsphere grades and heat treatment (annealed or T6 treated) were analysed.</w:t>
      </w:r>
      <w:r>
        <w:rPr>
          <w:color w:val="000000"/>
          <w:sz w:val="24"/>
          <w:szCs w:val="24"/>
        </w:rPr>
        <w:br/>
        <w:t xml:space="preserve">The measurements were done in the laboratories of the Department of Materials Science and Engineering.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30357">
    <w:multiLevelType w:val="hybridMultilevel"/>
    <w:lvl w:ilvl="0" w:tplc="31987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30357">
    <w:abstractNumId w:val="15430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422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