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DOBSON</w:t>
            </w:r>
          </w:p>
          <w:p w:rsidR="00C275A3" w:rsidRDefault="00A96AEC" w:rsidP="00C275A3">
            <w:pPr>
              <w:pStyle w:val="Hallgatokepzes"/>
            </w:pPr>
            <w:r>
              <w:t>info-bionics</w:t>
            </w:r>
            <w:r>
              <w:br/>
            </w:r>
            <w:r w:rsidR="00E77B23">
              <w:t>MSc, 2. semester</w:t>
            </w:r>
          </w:p>
          <w:p w:rsidR="00C265CE" w:rsidRPr="009E5FF1" w:rsidRDefault="00E77B23" w:rsidP="009763E0">
            <w:pPr>
              <w:pStyle w:val="Hallgatointezmeny-kar"/>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E. Tusnády</w:t>
            </w:r>
          </w:p>
          <w:p w:rsidR="00DB4822" w:rsidRDefault="00DB4822" w:rsidP="009763E0">
            <w:pPr>
              <w:pStyle w:val="Konzulensektitulus"/>
            </w:pPr>
            <w:r w:rsidRPr="00DB4822">
              <w:t>senior research fellow,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human transmembrane proteome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Transmembrane proteins play important role in living cells, both in unicellular and multicellular organisms, since they take part from energy production processes through material and information transport to establish cell-cell contacts. These proteins are embedded in cell or the cell organell bounding lipid bilayer membrane, extended from one side of the membrane to another ("inner" or "outer"), having the ability to take part in transport and signaling in a controlled way between the two sides of the membrane. The quantity and variety of these functions result a high amount of relation to diseases, thus these proteins can help drug and metabolite delivery. More than half of the currently distributed medicines affects transmembrane proteins, or have interaction with them for the desired result. Knowing the structure of transmembrane proteins is necessary for designing effective medicines. However determining spatial structure with current experimental methods (X-ray, NMR) is really difficult. Bionformatic investigation of the human genome showed, that quarter of the genome coded proteins are transmembrane proteins, which means 6-8000 in the whole human proteome, although less than 100 structures of them are determined.</w:t>
      </w:r>
    </w:p>
    <w:p>
      <w:pPr>
        <w:widowControl w:val="on"/>
        <w:pBdr/>
        <w:spacing w:before="240" w:after="240" w:line="240" w:lineRule="auto"/>
        <w:ind w:left="0" w:right="0"/>
        <w:jc w:val="left"/>
      </w:pPr>
      <w:r>
        <w:rPr>
          <w:color w:val="000000"/>
          <w:sz w:val="24"/>
          <w:szCs w:val="24"/>
        </w:rPr>
        <w:t xml:space="preserve">This paper aims for high reliability identification of transmembrane proteins by sequence and predicting their low resolution structure (topology prediction, "2,5D" prediction) to build databases for systematic analysis. The Human Transmembrane Proteome database can be an important starting-point for high-scale 3D structure prediction of these proteins, identification of new drug targets and designing new medicines.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78998">
    <w:multiLevelType w:val="hybridMultilevel"/>
    <w:lvl w:ilvl="0" w:tplc="72593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78998">
    <w:abstractNumId w:val="145789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187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