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SIMON</w:t>
            </w:r>
          </w:p>
          <w:p w:rsidR="00C275A3" w:rsidRDefault="00A96AEC" w:rsidP="00C275A3">
            <w:pPr>
              <w:pStyle w:val="Hallgatokepzes"/>
            </w:pPr>
            <w:r>
              <w:t>Molecular Biology</w:t>
            </w:r>
            <w:r>
              <w:br/>
            </w:r>
            <w:r w:rsidR="00E77B23">
              <w:t>MSc, 3. semester</w:t>
            </w:r>
          </w:p>
          <w:p w:rsidR="00C265CE" w:rsidRPr="009E5FF1" w:rsidRDefault="00E77B23" w:rsidP="009763E0">
            <w:pPr>
              <w:pStyle w:val="Hallgatointezmeny-kar"/>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Levente Czeglédi PhD.</w:t>
            </w:r>
          </w:p>
          <w:p w:rsidR="00DB4822" w:rsidRDefault="00DB4822" w:rsidP="009763E0">
            <w:pPr>
              <w:pStyle w:val="Konzulensektitulus"/>
            </w:pPr>
            <w:r w:rsidRPr="00DB4822">
              <w:t>assistant professor, DE MÉK</w:t>
            </w:r>
          </w:p>
        </w:tc>
      </w:tr>
      <w:tr w:rsidR="00DB4822" w:rsidTr="00DB4822">
        <w:tc>
          <w:tcPr>
            <w:tcW w:w="9854" w:type="dxa"/>
          </w:tcPr>
          <w:p w:rsidR="00DB4822" w:rsidRPr="00DB4822" w:rsidRDefault="00DB4822" w:rsidP="009763E0">
            <w:pPr>
              <w:pStyle w:val="Konzulenseknev"/>
            </w:pPr>
            <w:r w:rsidRPr="00DB4822">
              <w:t>Gabriella Gulyás</w:t>
            </w:r>
          </w:p>
          <w:p w:rsidR="00DB4822" w:rsidRDefault="00DB4822" w:rsidP="009763E0">
            <w:pPr>
              <w:pStyle w:val="Konzulensektitulus"/>
            </w:pPr>
            <w:r w:rsidRPr="00DB4822">
              <w:t>research worker,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of cattle melanocortin-1 receptor gene mutations by PCR-SSCP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the price of cattle meat and dairy products greatly influenced by the origin of the breed, it is necessary to establish and develop methods capable of detecting improper trading practices. Analytical methods based on the examination of the proteins has many drawbacks including cumbersome sample preparation, fractionation and need of expensive equipments and do not have the capability to simultaneously identify the many possible animal species or breed in heat treated food samples, compared with the DNA-based method that we want to develop.</w:t>
      </w:r>
    </w:p>
    <w:p>
      <w:pPr>
        <w:widowControl w:val="on"/>
        <w:pBdr/>
        <w:spacing w:before="240" w:after="240" w:line="240" w:lineRule="auto"/>
        <w:ind w:left="0" w:right="0"/>
        <w:jc w:val="left"/>
      </w:pPr>
      <w:r>
        <w:rPr>
          <w:color w:val="000000"/>
          <w:sz w:val="24"/>
          <w:szCs w:val="24"/>
        </w:rPr>
        <w:t xml:space="preserve">In mammals the coat color and pattern formed by multiple genes and their variants, as well as the interactions between them. In cattle the MC1R (melanocortin-1 receptor) gene regulates the production of the two coat color pigment: eumelanin and pheomelanin. The dominant allele (ED) responsible for the black, the recessive (e) allele responsible for the red and the E+ allel group which is further divided into three variants (E1, E2, E3) is responsible for the appearance of wild type coat color combinations. We aimed to develop a DNA-based method, which would allow us to identify all of the MC1R alleles and thus identify the bovine species from various biological and food samples. The method could help to identify the origin of bovine meat and dairy products by breeds.</w:t>
      </w:r>
    </w:p>
    <w:p>
      <w:pPr>
        <w:widowControl w:val="on"/>
        <w:pBdr/>
        <w:spacing w:before="240" w:after="240" w:line="240" w:lineRule="auto"/>
        <w:ind w:left="0" w:right="0"/>
        <w:jc w:val="left"/>
      </w:pPr>
      <w:r>
        <w:rPr>
          <w:color w:val="000000"/>
          <w:sz w:val="24"/>
          <w:szCs w:val="24"/>
        </w:rPr>
        <w:t xml:space="preserve">PCR-SSCP method is a simple and cost-effective tool for the detection of the DNA sequence variations. The principle of the method is that either one base variation in the target gene can change the three-dimensional structure of the single-stranded DNA. The structural changes lead to typical sequence specific (allele specific) electrophoretic mobility during the polyacrylamide gel electrophoresis, so the gene variants become distinguishable.</w:t>
      </w:r>
    </w:p>
    <w:p>
      <w:pPr>
        <w:widowControl w:val="on"/>
        <w:pBdr/>
        <w:spacing w:before="240" w:after="240" w:line="240" w:lineRule="auto"/>
        <w:ind w:left="0" w:right="0"/>
        <w:jc w:val="left"/>
      </w:pPr>
      <w:r>
        <w:rPr>
          <w:color w:val="000000"/>
          <w:sz w:val="24"/>
          <w:szCs w:val="24"/>
        </w:rPr>
        <w:t xml:space="preserve">The sensitivity of the method is affected by many factors. In order to separate the five allele we examined the following factors: the duration of the electrophoresis; the run temperature; PCR product size; acrylamide and bis-acrylamide ratio of the gel matrix; use of additive (glycerol); changing the buffer concentration. Necessary to develop a control method genotype samples previously determined by DNA sequencing.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78064">
    <w:multiLevelType w:val="hybridMultilevel"/>
    <w:lvl w:ilvl="0" w:tplc="37132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78064">
    <w:abstractNumId w:val="91378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197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