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KOVACS</w:t>
            </w:r>
          </w:p>
          <w:p w:rsidR="00C275A3" w:rsidRDefault="00A96AEC" w:rsidP="00C275A3">
            <w:pPr>
              <w:pStyle w:val="Hallgatokepzes"/>
            </w:pPr>
            <w:r>
              <w:t>Food Safety and Quality</w:t>
            </w:r>
            <w:r>
              <w:br/>
            </w:r>
            <w:r w:rsidR="00E77B23">
              <w:t>MSc, 3.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Erzsebet Monika Karaffa</w:t>
            </w:r>
          </w:p>
          <w:p w:rsidR="00DB4822" w:rsidRDefault="00DB4822" w:rsidP="00E11062">
            <w:pPr>
              <w:pStyle w:val="Konzulensek"/>
            </w:pPr>
            <w:r w:rsidRPr="00DB4822">
              <w:t>associate professor , DE MÉK</w:t>
            </w:r>
          </w:p>
        </w:tc>
      </w:tr>
      <w:tr w:rsidR="00DB4822" w:rsidTr="00DB4822">
        <w:tc>
          <w:tcPr>
            <w:tcW w:w="9854" w:type="dxa"/>
          </w:tcPr>
          <w:p w:rsidR="00DB4822" w:rsidRPr="00DB4822" w:rsidRDefault="00DB4822" w:rsidP="004D7940">
            <w:pPr>
              <w:pStyle w:val="Konzulensek"/>
            </w:pPr>
            <w:r w:rsidRPr="00DB4822">
              <w:t>Dr. Arpad Ferenc Peles</w:t>
            </w:r>
          </w:p>
          <w:p w:rsidR="00DB4822" w:rsidRDefault="00DB4822" w:rsidP="00E11062">
            <w:pPr>
              <w:pStyle w:val="Konzulensek"/>
            </w:pPr>
            <w:r w:rsidRPr="00DB4822">
              <w:t>assistant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Isolation and identification of endophytic and pathogenic fungi connected to Grapevine Trunk Diseases from Tokaj wine region,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Grapevine Trunk Diseases (GTD) are one of the most important diseases in vineyards worldwide, which can be found in Hungarian vineyards as well. In Hungarian wine regions there is very little information about the occurrence of pathogens which cause GTD, in case of Tokaj wine region there is no knowledge about, what kind of pathogens can be found in the vineyards recently.</w:t>
      </w:r>
      <w:r>
        <w:rPr>
          <w:color w:val="000000"/>
          <w:sz w:val="24"/>
          <w:szCs w:val="24"/>
        </w:rPr>
        <w:br/>
        <w:t xml:space="preserve">The objective of our research was to assess the situation and occurrence of GTD in Tokaj wine region in cooperation with local specialists, as well as identification of pathogens isolated from the diseased trunks by morphological and genetic basis.</w:t>
      </w:r>
      <w:r>
        <w:rPr>
          <w:color w:val="000000"/>
          <w:sz w:val="24"/>
          <w:szCs w:val="24"/>
        </w:rPr>
        <w:br/>
        <w:t xml:space="preserve">Endophytic and pathogenic fungi were isolated from all sampled grape trunk. The majority of them were determined as Diplodia seriata not only based on colony morphology, but based on rDNA sequences and we isolated Phomopsis sp. (Diaporthe) as pathogen.</w:t>
      </w:r>
      <w:r>
        <w:rPr>
          <w:color w:val="000000"/>
          <w:sz w:val="24"/>
          <w:szCs w:val="24"/>
        </w:rPr>
        <w:br/>
        <w:t xml:space="preserve">We were isolated other endophytic fungi from woody tissues, such as Alternaria sp., Epicoccum nigrum, Gibberella zeae (anamorph Fusarium graminearum), Mucor ramosissimus, Phoma sp.</w:t>
      </w:r>
    </w:p>
    <w:p>
      <w:pPr>
        <w:widowControl w:val="on"/>
        <w:pBdr/>
        <w:spacing w:before="240" w:after="240" w:line="240" w:lineRule="auto"/>
        <w:ind w:left="0" w:right="0"/>
        <w:jc w:val="left"/>
      </w:pPr>
      <w:r>
        <w:rPr>
          <w:color w:val="000000"/>
          <w:sz w:val="24"/>
          <w:szCs w:val="24"/>
        </w:rPr>
        <w:t xml:space="preserve">ACKNOWLEDGEMENT</w:t>
      </w:r>
    </w:p>
    <w:p>
      <w:pPr>
        <w:widowControl w:val="on"/>
        <w:pBdr/>
        <w:spacing w:before="240" w:after="240" w:line="240" w:lineRule="auto"/>
        <w:ind w:left="0" w:right="0"/>
        <w:jc w:val="left"/>
      </w:pPr>
      <w:r>
        <w:rPr>
          <w:color w:val="000000"/>
          <w:sz w:val="24"/>
          <w:szCs w:val="24"/>
        </w:rPr>
        <w:t xml:space="preserve">This work was supported by The publication is supported by the TÁMOP 4.2.4.A/2-11-1-2012-0001 project (Nemzeti Kiválóság Program Hazai hallgatói, illetve kutatói személyi támogatást biztosító rendszer kidolgozása és működtetése konvergencia program). The project is co-financed by the European Union and the European Social Fund. E. Sándor was supported by the „Research Grant of the University of Debrecen. The research was supported by COST Action FA1303.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554968">
    <w:multiLevelType w:val="hybridMultilevel"/>
    <w:lvl w:ilvl="0" w:tplc="702196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554968">
    <w:abstractNumId w:val="595549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45003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