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JÓNA TÜNDE</w:t>
            </w:r>
          </w:p>
          <w:p w:rsidR="00C275A3" w:rsidRDefault="00A96AEC" w:rsidP="00C275A3">
            <w:pPr>
              <w:pStyle w:val="Hallgatokepzes"/>
            </w:pPr>
            <w:r>
              <w:t>Emberi Erőforrás Tanácsadó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Vehrer Adél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emberi erőforrás kimerítése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túlóra, emberi erőforrás, szellemi munkakör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szellemi munkakörben dolgozó munkavállalók túlórával kapcsolatos tapasztalataival, elképzeléseivel foglalkoztam. A téma aktualitása éppen abból a tényből adódik, hogy a munka fogalmának egy új jelentése kezd előtérbe kerülni, amelyben az ember, mint az erőforrások egyike van jelen a struktúrában. A munka egyidős az emberiséggel, de míg korábban a fiziológiai szükségletek kielégítését szolgálta, ma elsősorban a profit növelése, s egyúttal az erőforrások maximális kihasználása a funkciója. Ebben a közegben pedig előtérbe kerülnek azok a folyamatok, amelyekben az ember megpróbálja a saját identitását megtalálni, mégpedig az önmegvalósítás irányába.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elsősorban arra irányult, hogy a szellemi munkakörben dolgozó munkavállalók a munkával és a szabadidővel kapcsolatban milyen asszociációkat tudnak felsorakoztatni.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eredmények azt mutatták, hogy a szellemi munkakörben dolgozók körében a túlóra általános jelenség, vagyis ez az a jelenség, amely a munka és a szabadidő közötti éles határ feloldását jelentheti. Ennek az oka egyrészt munkáltatói, másrészt pedig munkavállalói igényből táplálkozik. A munkavállalók válaszaik alapján munkaidőben foglalkoznak a közösségi média által közölt információkkal, s ez befolyást gyakorol a munkaidő túllépésére, másrészt viszont a szellemi érték olyan erőforrás, amelyre a munkáltatónak adott esetben nem csak a munkaidőben van szüksége.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Mivel a dolgozat eredményei azt mutatják, hogy a szellemi munkakörben a túlóra a munka megváltozott jelentéséből is következik, ezért úgy gondolom, hogy a munkáltatóknak foglalkoznia kell a kettő között kapcsolattal, vagyis a túlóra kényszere helyett inkább az ösztönzésmenedzsment előtérbe helyezését tartom fontosnak. A szellemi munka értékét mérni nem lehet a hagyományos munkakeret-feltételek mellett, minden esetben a munkavállalói igények figyelembe vételével kell számolni.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415300">
    <w:multiLevelType w:val="hybridMultilevel"/>
    <w:lvl w:ilvl="0" w:tplc="951244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415300">
    <w:abstractNumId w:val="424153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94747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