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IVETT PAPP</w:t>
            </w:r>
          </w:p>
          <w:p w:rsidR="00C275A3" w:rsidRDefault="00A96AEC" w:rsidP="00C275A3">
            <w:pPr>
              <w:pStyle w:val="Hallgatokepzes"/>
            </w:pPr>
            <w:r>
              <w:t>Recreation and Health Improvement Manager</w:t>
            </w:r>
            <w:r>
              <w:br/>
            </w:r>
            <w:r w:rsidR="00E77B23">
              <w:t>BSc, 3. semester</w:t>
            </w:r>
          </w:p>
          <w:p w:rsidR="00C265CE" w:rsidRPr="009E5FF1" w:rsidRDefault="00E77B23" w:rsidP="00BA6BAF">
            <w:pPr>
              <w:pStyle w:val="Hallgatointezmeny-kar"/>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Ferenc Ihasz</w:t>
            </w:r>
          </w:p>
          <w:p w:rsidR="00DB4822" w:rsidRDefault="00DB4822" w:rsidP="00BA6BAF">
            <w:pPr>
              <w:pStyle w:val="Konzulensektitulus"/>
            </w:pPr>
            <w:r w:rsidRPr="00DB4822">
              <w:t>supervisor, NYME AK</w:t>
            </w:r>
          </w:p>
        </w:tc>
      </w:tr>
      <w:tr w:rsidR="00DB4822" w:rsidTr="00DB4822">
        <w:tc>
          <w:tcPr>
            <w:tcW w:w="9854" w:type="dxa"/>
          </w:tcPr>
          <w:p w:rsidR="00DB4822" w:rsidRPr="00DB4822" w:rsidRDefault="00DB4822" w:rsidP="00BA6BAF">
            <w:pPr>
              <w:pStyle w:val="Konzulenseknev"/>
            </w:pPr>
            <w:r w:rsidRPr="00DB4822">
              <w:t>Zsofia Meszaros </w:t>
            </w:r>
          </w:p>
          <w:p w:rsidR="00DB4822" w:rsidRDefault="00DB4822" w:rsidP="00BA6BAF">
            <w:pPr>
              <w:pStyle w:val="Konzulensektitulus"/>
            </w:pPr>
            <w:r w:rsidRPr="00DB4822">
              <w:t>supervisor ,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Skinfold anthropometry and averages by age group and gender differences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body fat; overweight; fat accumulation</w:t>
      </w:r>
      <w:r>
        <w:t xml:space="preserve"/>
      </w:r>
    </w:p>
    <w:p>
      <w:pPr>
        <w:widowControl w:val="on"/>
        <w:pBdr/>
        <w:spacing w:before="240" w:after="240" w:line="240" w:lineRule="auto"/>
        <w:ind w:left="0" w:right="0"/>
        <w:jc w:val="left"/>
      </w:pPr>
      <w:r>
        <w:rPr>
          <w:color w:val="000000"/>
          <w:sz w:val="24"/>
          <w:szCs w:val="24"/>
        </w:rPr>
        <w:t xml:space="preserve">The spread of sedentary lifestyle has a close connection between the 6-18 year-old children in the large increase in body fat. Changes in non-athletes of body fat in children is a way forward with age. Without a change in lifestyle, in a few years with a normal body fat content overweight, and obese may be overweight.</w:t>
      </w:r>
      <w:r>
        <w:rPr>
          <w:color w:val="000000"/>
          <w:sz w:val="24"/>
          <w:szCs w:val="24"/>
        </w:rPr>
        <w:br/>
        <w:t xml:space="preserve">Aims of this study to establish the level of body zones per fat accumulation both sexes .. In this study, three age groups (second childhood, adolescence, young age) and the measured skinfold (triceps, biceps, shoulder-blade pleat, nigging pleat, belly pleat, leg pleat, calf pleat) were compared. In this study (n = 507) (9.14 ± 2.24) children, of which (nf = 282); (15:16 ± 2.3); (nl = 225); (14.73 ± 2.15) were enrolled, from eight city of Budapest, Esztergom, Gyor, Szekesfehervar, Keszthely, Nyíregyháza, Pécs, Szeged</w:t>
      </w:r>
      <w:r>
        <w:rPr>
          <w:color w:val="000000"/>
          <w:sz w:val="24"/>
          <w:szCs w:val="24"/>
        </w:rPr>
        <w:br/>
        <w:t xml:space="preserve">The shoulder, hip and stomach pleat progresses with age for both sexes was significantly increased (p &lt;0.5). For boys the biceps, triceps, calves, and leg pleat decreases with age, while the values for girls are rising</w:t>
      </w:r>
      <w:r>
        <w:rPr>
          <w:color w:val="000000"/>
          <w:sz w:val="24"/>
          <w:szCs w:val="24"/>
        </w:rPr>
        <w:br/>
        <w:t xml:space="preserve">Our examined sample of boys thicker subcutaneous fat is more localized in the trunk, while the girls, to the periphery. These results for men (central) and women (peripheral) typical fat storage patterns, they are together or separately, to increase high blood pressure, metabolic syndrome, and heart disease risk and érrend-times.</w:t>
      </w:r>
      <w:r>
        <w:rPr>
          <w:color w:val="000000"/>
          <w:sz w:val="24"/>
          <w:szCs w:val="24"/>
        </w:rPr>
        <w:br/>
        <w:t xml:space="preserve">This study points out that the decline in physical activity and childhood malnutrition is already a big problem in our country, it is important to reduce the amount of fat present a risk to the patient from making subsequent avoid overweight.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334909">
    <w:multiLevelType w:val="hybridMultilevel"/>
    <w:lvl w:ilvl="0" w:tplc="918344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334909">
    <w:abstractNumId w:val="813349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79886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