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TÖMÖRI</w:t>
            </w:r>
          </w:p>
          <w:p w:rsidR="00C275A3" w:rsidRDefault="00A96AEC" w:rsidP="00C275A3">
            <w:pPr>
              <w:pStyle w:val="Hallgatokepzes"/>
            </w:pPr>
            <w:r>
              <w:t>Accounting</w:t>
            </w:r>
            <w:r>
              <w:br/>
            </w:r>
            <w:r w:rsidR="00E77B23">
              <w:t>MA,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Bács PhD</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financial position and profitability of Richter and Novartis Group according to IFRS in the period 2009-2012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pharma industry; profitability; research and development; IFRS</w:t>
      </w:r>
      <w:r>
        <w:t xml:space="preserve"/>
      </w:r>
    </w:p>
    <w:p>
      <w:pPr>
        <w:widowControl w:val="on"/>
        <w:pBdr/>
        <w:spacing w:before="240" w:after="240" w:line="240" w:lineRule="auto"/>
        <w:ind w:left="0" w:right="0"/>
        <w:jc w:val="left"/>
      </w:pPr>
      <w:r>
        <w:rPr>
          <w:color w:val="000000"/>
          <w:sz w:val="24"/>
          <w:szCs w:val="24"/>
        </w:rPr>
        <w:t xml:space="preserve">By today, in our business environment based on innovation, the impact of economic opportunities used in pharmaceutical sector on the national economy has a decisive importance. This latter requires among others the research of the fact that due to which impact factors may be profitable multiply longer term the market financing or government supporting of this sector. The overall objective of my entries is to compare the financial position and profitability of two internationally renowned company groups, which plays a prominent role in the Hungarian and world pharma market, the Richter and Novartis Group, the period between 2009 and 2012, and emphasis firming fields, which determined mostly the different or similarly trends of results. During the comparative analysis I examine the type of investment policy – inside of this mostly the role of research and development and innovation, – the efficiency of stock management, the different legal provisions, support systems, market strategy, accounting and financial policies and the cost management. The company statements, based on International Financial Reporting Standards (IFRS), were the basis of the figures used for the analysis, what could be carried out only in this light. Overall, among the examined factors the research and development had the greatest effect on the firming separately and in comparison with each other, as well as the Novartis – compared to Richter – could offset the higher operational risk exposure, arising from its financial strategy, with its more conservative accounting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86125">
    <w:multiLevelType w:val="hybridMultilevel"/>
    <w:lvl w:ilvl="0" w:tplc="54957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86125">
    <w:abstractNumId w:val="51486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685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