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ZSOLT</w:t>
            </w:r>
          </w:p>
          <w:p w:rsidR="00C275A3" w:rsidRDefault="00A96AEC" w:rsidP="00C275A3">
            <w:pPr>
              <w:pStyle w:val="Hallgatokepzes"/>
            </w:pPr>
            <w:r>
              <w:t>Gazdálkodási- és menedzsment</w:t>
            </w:r>
            <w:r>
              <w:br/>
            </w:r>
            <w:r w:rsidR="00E77B23">
              <w:t>BSc, 5. félév</w:t>
            </w:r>
          </w:p>
          <w:p w:rsidR="00C265CE" w:rsidRPr="009E5FF1" w:rsidRDefault="00E77B23" w:rsidP="00BA6BAF">
            <w:pPr>
              <w:pStyle w:val="Hallgatointezmeny-kar"/>
              <w:rPr>
                <w:b/>
                <w:caps/>
              </w:rPr>
            </w:pPr>
            <w:r>
              <w:t>Károly Róbert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Bozsik Norbert</w:t>
            </w:r>
          </w:p>
          <w:p w:rsidR="00DB4822" w:rsidRDefault="00DB4822" w:rsidP="00BA6BAF">
            <w:pPr>
              <w:pStyle w:val="Konzulensektitulus"/>
            </w:pPr>
            <w:r w:rsidRPr="00DB4822">
              <w:t>főiskolai tanár,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és Japán autókereskedelmének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autóipar, nemzetközi kereskedelem, ágazaton belüli kereskedelem, Európai Unió, Japán</w:t>
      </w:r>
      <w:r>
        <w:t xml:space="preserve"/>
      </w:r>
    </w:p>
    <w:p>
      <w:pPr>
        <w:widowControl w:val="on"/>
        <w:pBdr/>
        <w:spacing w:before="240" w:after="240" w:line="240" w:lineRule="auto"/>
        <w:ind w:left="0" w:right="0"/>
        <w:jc w:val="left"/>
      </w:pPr>
      <w:r>
        <w:rPr>
          <w:color w:val="000000"/>
          <w:sz w:val="24"/>
          <w:szCs w:val="24"/>
        </w:rPr>
        <w:t xml:space="preserve">Érdekesnek bizonyulhat az a tény, hogy a németek importálnak japán autót, és a japánok is németet, és hogy az e fajta kereskedelmi kapcsolatokat a hagyományos közgazdasági elméletek nem magyarázzák. Az ilyen jellegű kereskedelemre a választ az ágazaton belüli kereskedelemben találjuk, melynek jelentősége az ipari termékek csoportján belül számottevő. Manapság a fejlett országok közötti kereskedelem alapvetően ágazaton belüli-jellegű, és erre kitűnő példa az autóipar.</w:t>
      </w:r>
      <w:r>
        <w:rPr>
          <w:color w:val="000000"/>
          <w:sz w:val="24"/>
          <w:szCs w:val="24"/>
        </w:rPr>
        <w:br/>
        <w:t xml:space="preserve">A szakirodalmi áttekintés során betekintést kapunk a világ autóiparának felépítésébe, a jellemző tendenciákba, valamint az Európai Unió, és Japán autóiparának főbb jellemzői is összefoglalásra kerülnek. Az európai térség számos autóipari vállalatnak ad helyet, ahogy Japánban is jelentős gyártók vannak. Az EU térsége, és Japán adja a világ gyártóinak több mint felét, és ezek a gyártók éles versenyben állnak egymással. A japán autók különösen ismertek kedvező árukról, alacsony fogyasztásukról, praktikus méretükről, amely a ’70-es években versenyelőnyhöz juttatta őket, és megjelentek a külföldi piacokon. Európában pedig az autógyártásnak évszázados történelme van.</w:t>
      </w:r>
      <w:r>
        <w:rPr>
          <w:color w:val="000000"/>
          <w:sz w:val="24"/>
          <w:szCs w:val="24"/>
        </w:rPr>
        <w:br/>
        <w:t xml:space="preserve">A dolgoz részében az ágazaton belüli kereskedelem mértékét vizsgáltam meg az Európai Unió, és Japán autóipari kereskedelmén belül. Alkalmazásra került az ágazaton belüli kereskedelem vizsgálata során alkalmazott Grubel-Lloyd index, Greenaway-Hine-Milner-, Fontagné-Freudenberg index. Ezek alkalmasak a kereskedelmi típusok relatív súlyának vizsgálatára. A kapott eredmények tükrében vizsgálom az ágazaton belüli kereskedelem lehetséges magyarázó tényezőit.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93808">
    <w:multiLevelType w:val="hybridMultilevel"/>
    <w:lvl w:ilvl="0" w:tplc="35176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93808">
    <w:abstractNumId w:val="61793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490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