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GAZDAG-GÁL IVETTA</w:t>
            </w:r>
          </w:p>
          <w:p w:rsidR="00C275A3" w:rsidRDefault="00A96AEC" w:rsidP="00C275A3">
            <w:pPr>
              <w:pStyle w:val="Hallgatokepzes"/>
            </w:pPr>
            <w:r>
              <w:t>Germanisztika</w:t>
            </w:r>
            <w:r>
              <w:br/>
            </w:r>
            <w:r w:rsidR="00E77B23">
              <w:t>BA, 7.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Harsányi Mihály</w:t>
            </w:r>
          </w:p>
          <w:p w:rsidR="00DB4822" w:rsidRDefault="00DB4822" w:rsidP="00E11062">
            <w:pPr>
              <w:pStyle w:val="Konzulensek"/>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Szabályos és rendhagyó ragozás -a glimmen és triefen igék példáján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következő dolgozat azon német igékkel foglalkozik, melyeknek egyidejűleg a rendhagyó és a szabályos ragozási formája is használatban van. Ezek az igék a két ragozási típus között ingadozva a ragozási kategóriaváltás folyamatát reprezentálják, mely egyike a német nyelv jelentős történeti fejlődési tendenciáinak.</w:t>
      </w:r>
    </w:p>
    <w:p>
      <w:pPr>
        <w:widowControl w:val="on"/>
        <w:pBdr/>
        <w:spacing w:before="240" w:after="240" w:line="240" w:lineRule="auto"/>
        <w:ind w:left="0" w:right="0"/>
        <w:jc w:val="left"/>
      </w:pPr>
      <w:r>
        <w:rPr>
          <w:color w:val="000000"/>
          <w:sz w:val="24"/>
          <w:szCs w:val="24"/>
        </w:rPr>
        <w:t xml:space="preserve">Ezek az igék, különösen ami a hétköznapi kommunikációban való használatukat illeti, a nyelvészet kevéssé kutatott területeihez tartoznak, ezért a jelen dolgozat azt tűzte ki célul, hogy két példán (glimmen és melken) keresztül bemutassa a velük kapcsolatos nyelvészeti álláspontokat, valamint tényleges használatuk jellemzőit. Az elemzés során, melyhez az Institut für Deutsche Sprache adatbázisát használtuk, az igék rendhagyó, valamint szabályos alakjainak előfordulását vizsgáltuk különböző szempontok szerint. Így az egyes formák gyakoriságát nemcsak összesítve, hanem a különböző német nyelvű országokra, valamint az egyes németországi nyelvi régiókra tekintettel is értékeltük. Emellett vizsgáltuk azt is, hogy bizonyos formák használatának szemantikai (konkrét vagy átvitt értelmű szó) vagy stilisztikai (választékos nyelvezet) okai lehetnek-e.</w:t>
      </w:r>
    </w:p>
    <w:p>
      <w:pPr>
        <w:widowControl w:val="on"/>
        <w:pBdr/>
        <w:spacing w:before="240" w:after="240" w:line="240" w:lineRule="auto"/>
        <w:ind w:left="0" w:right="0"/>
        <w:jc w:val="left"/>
      </w:pPr>
      <w:r>
        <w:rPr>
          <w:color w:val="000000"/>
          <w:sz w:val="24"/>
          <w:szCs w:val="24"/>
        </w:rPr>
        <w:t xml:space="preserve">A glimmen ige elemzése során a korpusz egyértelműen a szabályos formák túlsúlyát mutatta, noha a rendhagyó alakok gyakrabban fordultak elő átvitt értelemben és irodalmi szövegekben. Ez az eredmény arra enged következtetni, hogy a glimmen ige a szabályos ragozási csoport felé tendál, még ha a változás egyes területeket lassabban is ér el.</w:t>
      </w:r>
    </w:p>
    <w:p>
      <w:pPr>
        <w:widowControl w:val="on"/>
        <w:pBdr/>
        <w:spacing w:before="240" w:after="240" w:line="240" w:lineRule="auto"/>
        <w:ind w:left="0" w:right="0"/>
        <w:jc w:val="left"/>
      </w:pPr>
      <w:r>
        <w:rPr>
          <w:color w:val="000000"/>
          <w:sz w:val="24"/>
          <w:szCs w:val="24"/>
        </w:rPr>
        <w:t xml:space="preserve">A melken ige elemzése kevéssé egyértelmű eredményeket hozott. Az ingadozás a két ragozási típus között itt inkább csak a Präteritum-alakoknál figyelhető meg, Partizip II-ben ugyanis egyértelműen a rendhagyó változat használatos. A rendhagyó Präteritum-alakok minimális túlsúlya azt jelezheti, hogy a melken ige még a rendhagyó ragozási kategóriához áll közelebb.</w:t>
      </w:r>
    </w:p>
    <w:p>
      <w:pPr>
        <w:widowControl w:val="on"/>
        <w:pBdr/>
        <w:spacing w:before="240" w:after="240" w:line="240" w:lineRule="auto"/>
        <w:ind w:left="0" w:right="0"/>
        <w:jc w:val="left"/>
      </w:pPr>
      <w:r>
        <w:rPr>
          <w:color w:val="000000"/>
          <w:sz w:val="24"/>
          <w:szCs w:val="24"/>
        </w:rPr>
        <w:t xml:space="preserve">Összefoglalva megállapítható, hogy a korpusz elemzése számos adattal szolgált arra vonatkozóan, hogy a vizsgált glimmen és melken igék egyes ragozási formái hol, mikor és hogyan használatosak az élő nyelvben. Az elemzés során azonban olyan példák is előfordultak, melyek ellentmondásban állnak a nyelvtankönyvek állításaival. Ez pedig jól mutatja a nyelvhasználók bizonytalanságát a vizsgált igékkel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79235">
    <w:multiLevelType w:val="hybridMultilevel"/>
    <w:lvl w:ilvl="0" w:tplc="21048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79235">
    <w:abstractNumId w:val="78079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85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