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GABRIELLA NIKOLETTA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Pusztainé Fischl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bronzkori szimbolika és településszerkezet kognitív régészeti kapcsolatai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bronzkori hatvani és a füzesabonyi kultúrák díszítő motívumkincsében jellegzetes, gyakori elem a koncentrikus, középpontos körábrázolás, amely az ebben a korszakban létesített, koncentrikus alaprajzú települések szerkezetére asszociál. E hasonlóság, egyfajta gondolkodásmódbeli sajátosság létét engedi feltételezni, melynek vallástörténeti, jelképrendszeri vizsgálatai segíthetnek közelebb kerülni a bronzkori társadalomhoz és gondolkodásmódhoz.</w:t>
      </w:r>
      <w:r>
        <w:rPr>
          <w:color w:val="000000"/>
          <w:sz w:val="24"/>
          <w:szCs w:val="24"/>
        </w:rPr>
        <w:br/>
        <w:t xml:space="preserve">Munkámat a korábbi, településszerkezeti kutatások, tárgyleírások és típustáblák áttekintésével kezdtem, majd a posztprocesszuális régészeti módszerek segítségével összevetettem azokat. Az értelmezéshez segítségül hívtam kulturális antropológiai, vallástörténeti, pszichológiai, filozófiai munkákat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6599">
    <w:multiLevelType w:val="hybridMultilevel"/>
    <w:lvl w:ilvl="0" w:tplc="21011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6599">
    <w:abstractNumId w:val="75426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958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