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DORNFELD</w:t>
            </w:r>
          </w:p>
          <w:p w:rsidR="00C275A3" w:rsidRDefault="00A96AEC" w:rsidP="00C275A3">
            <w:pPr>
              <w:pStyle w:val="Hallgatokepzes"/>
            </w:pPr>
            <w:r>
              <w:t>jurist</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Róth PhD</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Issues of the Investigation of Crimes Committed in Cyberspace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spread of new information technological devices and the internet our lives changed significantly with many things becoming easier to do. But the advantages were also recognized by the criminal and the relatively cheap methods of committing crimes many of them started to use it. According to a survey conducted in 2011 one million becomes a victim of crime in cyberspace everyday which causes 388 billion dollars damage and shows a growing tendency. Crimes committed in cyberspace have no huge differences from the existing criminal law and the only thing that changes is the place of perpetration like in the case of the most common cybercrime, fraud. These new methods however mean a great challenge for the criminal procedure due to the anonymity of the Internet. In particular if the perpetrator realises the incapability of law enforcement and commits a crime from an ill-regulated Eastern Asian country. The large amount of crimes spanning over national borders makes the national law enforcements face threats like never before.</w:t>
      </w:r>
    </w:p>
    <w:p>
      <w:pPr>
        <w:widowControl w:val="on"/>
        <w:pBdr/>
        <w:spacing w:before="240" w:after="240" w:line="240" w:lineRule="auto"/>
        <w:ind w:left="0" w:right="0"/>
        <w:jc w:val="left"/>
      </w:pPr>
      <w:r>
        <w:rPr>
          <w:color w:val="000000"/>
          <w:sz w:val="24"/>
          <w:szCs w:val="24"/>
        </w:rPr>
        <w:br/>
        <w:t xml:space="preserve">The main goal in writing this paper was to present the nature of cybercrime techniques and the methods to uncover them, especially during investigation and the aspects of legal aid. Bot old and new methods are presented to the readers. Not only the current Hungarian measures are examined but also the relevant foreign legislature, focusing on the US which was first to pass legislature to persecute cybercrime; the European countries and important international organizations like the EU and the Council of Europe.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76844">
    <w:multiLevelType w:val="hybridMultilevel"/>
    <w:lvl w:ilvl="0" w:tplc="40430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76844">
    <w:abstractNumId w:val="172768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4127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