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BÉRES</w:t>
            </w:r>
          </w:p>
          <w:p w:rsidR="00C275A3" w:rsidRDefault="00A96AEC" w:rsidP="00C275A3">
            <w:pPr>
              <w:pStyle w:val="Hallgatokepzes"/>
            </w:pPr>
            <w:r>
              <w:t>lawyer</w:t>
            </w:r>
            <w:r>
              <w:br/>
            </w:r>
            <w:r w:rsidR="00E77B23">
              <w:t>MA,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Kirs</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Counter-terrorism and protecting human rights in accordance the case-law of the European Court of Human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threat of terrorism has become a world-wide phenomenon by the 21st century. All of the states face this problem nowadays – regardless to their cultural values, political systems and the more narrow political contexts. As the liberal democracies have to answer to these questions in a new way in the „changed world”, it is becoming more and more acceptable that greater extent of restrictions of freedom can be implemented while protecting national security interests.</w:t>
      </w:r>
      <w:r>
        <w:rPr>
          <w:color w:val="000000"/>
          <w:sz w:val="24"/>
          <w:szCs w:val="24"/>
        </w:rPr>
        <w:br/>
        <w:t xml:space="preserve">Nevertheless, in the fight against terrorism democratic states have to take into consideration those fundamental rights which their political system is based on. Liberty contra security? It is not easy to find the balance between these two values. In my student research society paper, I attempt to present – according to the case-law of the European Court of Human Rights – how the protection of human righs come into being regionally in the „age of terrorism”.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3162">
    <w:multiLevelType w:val="hybridMultilevel"/>
    <w:lvl w:ilvl="0" w:tplc="11271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3162">
    <w:abstractNumId w:val="22973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156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