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SERES ESZTER LILLA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Raisz Anikó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Hajókról származó tengeri olajszennyezések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Hajókról származó tengeri olajszennyezések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br/>
        <w:t xml:space="preserve">A nemzetközi környezetjog és a tengerjogi szabályozás egyik legjelentősebb problémája a tengeri olajszennyezések kérdésköre. A problémával az államoknak már elég korán szembesülniük kellett, mivel a tengeri olajszállítás során bekövetkezett katasztrófák elhárítása a technikai fejlettség, a megfelelő szabályozás és a nemzetközi együttműködés hiányában meglehetősen nehéz volt. Mindez arra sarkallta az államokat, hogy olyan nemzetközi szintű szabályrendszert hozzanak létre, amely nem csak a katasztrófák megelőzése, de az elhárítása és a felelősség megállapításának kérdésében is választ tud nyújtani. Így a tengeri olajszennyezésekre vonatkozó szabályozás két alappillérét a Hajókról történő szennyezés megelőzéséről szóló 1973. évi nemzetközi egyezmény (MARPOL) és a Tengerjogi Egyezmény alkotják. A részletekbe menő szabályozás ellenére is évente több olyan olajkatasztrófa következik be, amelyek az adott ökoszisztéma és környezet jelentős károsodását okozzák. Mivel a tengerek és óceánok a bolygónk több mint 70%-át alkotják, így a legnagyobb kiterjedésű közös területként minden – főleg az olajszállítással érintett parti, lobogó szerinti és kikötő szerinti – államnak kötelezettsége a területek fenntartása és megőrzése.</w:t>
      </w:r>
      <w:r>
        <w:rPr>
          <w:color w:val="000000"/>
          <w:sz w:val="24"/>
          <w:szCs w:val="24"/>
        </w:rPr>
        <w:br/>
        <w:t xml:space="preserve">A dolgozatom megírásának a célja, hogy bemutassa a tengeri olajszennyezések során alkalmazandó szabályozást, a szállítással kapcsolatos általános problémákat – így a szívességi lobogó szerinti hajók szabályozásának és korlátozásuk problémáit – és magukat az olajkatasztrófákat. A dolgozat első részében ezért bemutatásra kerülnek az olajszennyezésekkel kapcsolatos általános kérdések – az általános nemzetközi környezetjogi szabályozás kapcsolata a tengerszennyezésekkel, az e tekintetben alkalmazandó alapelvek, a szennyezésekkel kapcsolatos általános megállapítások, a szennyezések környezetre gyakorolt biológiai hatásai, valamint a szennyezések fajtái. A második részben a szűkebb értelemben vett szabályozás kialakulása és a jelenleg hatályos szabályozás kerül bemutatásra, ide értve a felelősséggel és kártérítéssel kapcsolatos problémákat, a felelősség megállapításának nehézségét és – a szabályozásnak is jelentős „lendületet” adó – az évek során bekövetkezett legfontosabb olajszennyezéseket.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18660">
    <w:multiLevelType w:val="hybridMultilevel"/>
    <w:lvl w:ilvl="0" w:tplc="474138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18660">
    <w:abstractNumId w:val="14718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4424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