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KRISTON EDIT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Barzó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PhD, 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Adós fizess?! – avagy a devizahitel-szerződések érvénytelensége a polgári jog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Devizahitel- azt hiszem, ez a szó ma már nem cseng ismeretlenként, hiszen nap, mint nap találkozhatunk vele. Számos magyar családot érintő probléma ez, amely mind a mai napig megoldásra vár. De miért nevezhetjük ezeket a szerződéseket problémásnak? Úgy vélem, a túlzott teher, amit az adósokra rónak ezzel a sajátos kötelemmel, veti fel azokat a vitás pontokat, amelyek miatt egyre többen kérdőjelezik meg, hogy vajon érvényesek-e ezek a szerződések. Az érintettek egyre több hibát és hiányosságot vélnek felfedezni ezekben a kötelmekben, egyre többen fordulnak bírósághoz az érvényesség megkérdőjelezhetősége okán és az igazukat keresve. Vajon alaptalanok ezek a felvetések, vagy akad keresnivalója az adósoknak?</w:t>
      </w:r>
      <w:r>
        <w:rPr>
          <w:color w:val="000000"/>
          <w:sz w:val="24"/>
          <w:szCs w:val="24"/>
        </w:rPr>
        <w:br/>
        <w:t xml:space="preserve">Ilyen és ehhez hasonló kérdések azok, amelyek véleményem szerint alapot szolgáltatnak arra, hogy kissé a dolgok mélyére nézzünk és megvizsgáljuk, hogy milyen lehetőségekkel szolgál a polgári jog és a bírói gyakorlat megoldásként.</w:t>
      </w:r>
      <w:r>
        <w:rPr>
          <w:color w:val="000000"/>
          <w:sz w:val="24"/>
          <w:szCs w:val="24"/>
        </w:rPr>
        <w:br/>
        <w:t xml:space="preserve">A joganyag ugyanis természetesen rendelkezésre áll, ám a bíróságok óvatosak a devizahitelek vizsgálatával kapcsolatosan. A dolgozatom elkészítése óta eltelt időben számos intézkedés megtételére sor került az állam részéről, ám végső megoldást – úgy vélem – ezek sem szolgáltattak.</w:t>
      </w:r>
      <w:r>
        <w:rPr>
          <w:color w:val="000000"/>
          <w:sz w:val="24"/>
          <w:szCs w:val="24"/>
        </w:rPr>
        <w:br/>
        <w:t xml:space="preserve">Mindezek alapján dolgozatomban igyekeztem feltárni, hogy milyen események vezettek oda, hogy a devizakölcsönök ilyen széles körben alkalmazott hitelezési gyakorlattá váltak, beszélhetünk-e érvénytelenségről e szerződések tekintetében, vagy ezek igenis megfelelnek a polgári jogi normáknak és az adósok kénytelenek beletörődni és fizetni a bankoknak.</w:t>
      </w:r>
      <w:r>
        <w:rPr>
          <w:color w:val="000000"/>
          <w:sz w:val="24"/>
          <w:szCs w:val="24"/>
        </w:rPr>
        <w:br/>
        <w:t xml:space="preserve">Részletesen ismertettem a Kúria döntését, mellyel igyekszik kijelöli a követendő joggyakorlat útját, végül kitekintésként bemutattam az Európai Unió által tett és teendő lépéseket a devizahitelekkel - főként a jelzálog alapú devizakölcsönökkel – kapcsolatosan, hiszen az effajta hitelezés nem csak hazánkban, hanem uniós szinten is jelentős problémákat vet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33499">
    <w:multiLevelType w:val="hybridMultilevel"/>
    <w:lvl w:ilvl="0" w:tplc="11470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33499">
    <w:abstractNumId w:val="240334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5265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