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KRISTON</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Varga Dr.</w:t>
            </w:r>
          </w:p>
          <w:p w:rsidR="00DB4822" w:rsidRDefault="00DB4822" w:rsidP="00E11062">
            <w:pPr>
              <w:pStyle w:val="Konzulensek"/>
            </w:pPr>
            <w:r w:rsidRPr="00DB4822">
              <w:t>Senior lecturer,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Foreign currency crediting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Kriston Vivien</w:t>
      </w:r>
      <w:r>
        <w:rPr>
          <w:color w:val="000000"/>
          <w:sz w:val="24"/>
          <w:szCs w:val="24"/>
        </w:rPr>
        <w:br/>
        <w:t xml:space="preserve">Faculty of Law</w:t>
      </w:r>
      <w:r>
        <w:rPr>
          <w:color w:val="000000"/>
          <w:sz w:val="24"/>
          <w:szCs w:val="24"/>
        </w:rPr>
        <w:br/>
        <w:t xml:space="preserve">University of Miskolc</w:t>
      </w:r>
    </w:p>
    <w:p>
      <w:pPr>
        <w:widowControl w:val="on"/>
        <w:pBdr/>
        <w:spacing w:before="240" w:after="240" w:line="240" w:lineRule="auto"/>
        <w:ind w:left="0" w:right="0"/>
        <w:jc w:val="left"/>
      </w:pPr>
      <w:r>
        <w:rPr>
          <w:color w:val="000000"/>
          <w:sz w:val="24"/>
          <w:szCs w:val="24"/>
        </w:rPr>
        <w:br/>
        <w:t xml:space="preserve">Supervisor: Dr. Varga Zoltán</w:t>
      </w:r>
      <w:r>
        <w:rPr>
          <w:color w:val="000000"/>
          <w:sz w:val="24"/>
          <w:szCs w:val="24"/>
        </w:rPr>
        <w:br/>
        <w:t xml:space="preserve">Senior lecturer</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foreign currency crediting</w:t>
      </w:r>
    </w:p>
    <w:p>
      <w:pPr>
        <w:widowControl w:val="on"/>
        <w:pBdr/>
        <w:spacing w:before="240" w:after="240" w:line="240" w:lineRule="auto"/>
        <w:ind w:left="0" w:right="0"/>
        <w:jc w:val="left"/>
      </w:pPr>
      <w:r>
        <w:rPr>
          <w:color w:val="000000"/>
          <w:sz w:val="24"/>
          <w:szCs w:val="24"/>
        </w:rPr>
        <w:t xml:space="preserve">The indispensable consequence of the European economical development and the multiplied over-border contracts was the introduction of the foreign currency. Not only the participants of the extended international trade flow but the banks also saw the opportunity in this fund which seemed strange for the first time. For their appliers, the hungarian banks could grant better rate loan than the hungarian forint but no one knew that the situation can easily return: the debtors couldn’t sink the cost-effective foreign-currency redeeming instalments. Families have to leave their homes, lives ruined while movements came to alive helping distressed people. The banks got wise to this fact too. In the last few years, instruments came to light in order to unbend the position of the debtors which give opportunity before and after the cancellation of the contract.</w:t>
      </w:r>
      <w:r>
        <w:rPr>
          <w:color w:val="000000"/>
          <w:sz w:val="24"/>
          <w:szCs w:val="24"/>
        </w:rPr>
        <w:br/>
        <w:t xml:space="preserve">In my theme, I would like to investigate the circumstances of the introduction of the foreign currency, the economic and historical process leading to this. After, I detail the reasons of the spread of the foreign currency crediting and the effects of the instruments defending the debts.</w:t>
      </w:r>
    </w:p>
    <w:p>
      <w:pPr>
        <w:widowControl w:val="on"/>
        <w:pBdr/>
        <w:spacing w:before="240" w:after="240" w:line="240" w:lineRule="auto"/>
        <w:ind w:left="0" w:right="0"/>
        <w:jc w:val="left"/>
      </w:pPr>
      <w:r>
        <w:rPr>
          <w:color w:val="000000"/>
          <w:sz w:val="24"/>
          <w:szCs w:val="24"/>
        </w:rPr>
        <w:t xml:space="preserve">Besides, I will compare the problems and the solutions in connection with the foreign currency crediting in Hungary and the EU members.</w:t>
      </w:r>
    </w:p>
    <w:p>
      <w:pPr>
        <w:widowControl w:val="on"/>
        <w:pBdr/>
        <w:spacing w:before="240" w:after="240" w:line="240" w:lineRule="auto"/>
        <w:ind w:left="0" w:right="0"/>
        <w:jc w:val="left"/>
      </w:pPr>
      <w:r>
        <w:rPr>
          <w:color w:val="000000"/>
          <w:sz w:val="24"/>
          <w:szCs w:val="24"/>
        </w:rPr>
        <w:t xml:space="preserve">As the result of my research, I would like to demonstrate the current situation of the foreign currency crediting and a solution-plan which is favorable both for the banks and for the debtors.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16232">
    <w:multiLevelType w:val="hybridMultilevel"/>
    <w:lvl w:ilvl="0" w:tplc="25877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16232">
    <w:abstractNumId w:val="74716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0855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