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VARGA KINGA</w:t>
            </w:r>
          </w:p>
          <w:p w:rsidR="00C275A3" w:rsidRDefault="00A96AEC" w:rsidP="00C275A3">
            <w:pPr>
              <w:pStyle w:val="Hallgatokepzes"/>
            </w:pPr>
            <w:r>
              <w:t>Bűnügyi igazgatási - bűnügyi szakirány</w:t>
            </w:r>
            <w:r>
              <w:br/>
            </w:r>
            <w:r w:rsidR="00E77B23">
              <w:t>BA, 5.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Nemzeti Közszolgálati Egyetem</w:t>
            </w:r>
            <w:r w:rsidR="00C275A3">
              <w:br/>
            </w:r>
            <w:r w:rsidR="00DB4822">
              <w:t>Rendészettudományi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Pallagi Anikó</w:t>
            </w:r>
          </w:p>
          <w:p w:rsidR="00DB4822" w:rsidRDefault="00DB4822" w:rsidP="009763E0">
            <w:pPr>
              <w:pStyle w:val="Konzulensektitulus"/>
            </w:pPr>
            <w:r w:rsidRPr="00DB4822">
              <w:t>adjunktus, NKE RTK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Kísérleti szakaszban rekedt bűncselekmények közben megvalósított befejezett bűncselekmények megítélése, különös tekintettel a halmazati problémákra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büntetőjogban, így a bűncselekmények megítélése során fontos szerepet tölt be a szándékos bűncselekmény szakaszainak megállapítása és elkülönítése. A szakaszoknak más-más a társadalomra veszélyességi foka, így eltérő a büntetőjogi szabályozása is, emiatt nyer nagy jelentőséget a büntetőjogban.</w:t>
      </w:r>
      <w:r>
        <w:rPr>
          <w:color w:val="000000"/>
          <w:sz w:val="24"/>
          <w:szCs w:val="24"/>
        </w:rPr>
        <w:br/>
        <w:t xml:space="preserve">Ezeket a szakaszokat, olykor nehéz elhatárolni egymástól. Problémát jelenthet a szakaszok elhatárolásánál, hogy az elkövetőnek ugyanazon cselekménye lehet valamely bűncselekmény előkészülete, míg más szempontból, ugyanaz a magatartás már egy másik bűncselekmény kísérlete vagy akár befejezett stádiumaként is értékelhető. Emiatt felmerül a kérdés, hogy súlyosabban kell-e megítélni azt, aki egy súlyosabb bűncselekmény kísérlete közben egy enyhébb súlyú befejezett bűncselekményt valósít meg?</w:t>
      </w:r>
      <w:r>
        <w:rPr>
          <w:color w:val="000000"/>
          <w:sz w:val="24"/>
          <w:szCs w:val="24"/>
        </w:rPr>
        <w:br/>
        <w:t xml:space="preserve">Dolgozatom célja, hogy érveket és ellenérveket sorakoztassak fel amellett, hogy szükséges-e az előbb említett esetben megvalósított halmazat esetén, hogy egy enyhébb súlyú befejezett cselekmény elkövetésekor megítéljük, ha azzal valamilyen kísérletet vagy előkészületet valósít meg.</w:t>
      </w:r>
      <w:r>
        <w:rPr>
          <w:color w:val="000000"/>
          <w:sz w:val="24"/>
          <w:szCs w:val="24"/>
        </w:rPr>
        <w:br/>
        <w:t xml:space="preserve">„Sok esetben igen bonyolult feladatot jelent a jogalkalmazó számára annak eldöntése, hogy a történeti tényállás alapján hány bűncselekmény megállapítása szükséges. A bírói gyakorlat több esetben sem következetes: gyakran érezzük, úgy, hogy esetenként a bíróságok indokolatlanul állapítják meg több bűncselekményben a terhelt felelősségét.” Eme probléma szemléltetését látjuk dolgozatomban, ahol két konkrét cselekmény alapján állapítjuk meg, hogy hány bűncselekmény történt és azok halmazatban állnak-e egymással és milyen büntetési tétel kiszabását rendeli a jogalkotó. Láthatjuk, hogy ezen kérdésekre különböző szerzők eltérő magyarázatokat adnak.</w:t>
      </w:r>
      <w:r>
        <w:rPr>
          <w:color w:val="000000"/>
          <w:sz w:val="24"/>
          <w:szCs w:val="24"/>
        </w:rPr>
        <w:br/>
        <w:t xml:space="preserve">A büntetés kiszabásánál láthatjuk, hogyha látszólagos halmazatot állapít meg a jogalkalmazó, akkor a súlyosabb büntetési tétellel fenyegetett bűncselekmény megállapítására kerül sor és a büntetési tétel annak büntetési keretei között kerül kiszabásra. Ha pedig a két cselekmény megvalósít egyfajta halmazatot, akkor viszont már a halmazati büntetés kiszabására kerül sor.</w:t>
      </w:r>
      <w:r>
        <w:rPr>
          <w:color w:val="000000"/>
          <w:sz w:val="24"/>
          <w:szCs w:val="24"/>
        </w:rPr>
        <w:br/>
        <w:t xml:space="preserve">A dolgozat elején feltett kérdésre, mely szerint „súlyosabban kell-e megítélni azt, aki egy súlyosabb bűncselekmény kísérlete közben egy enyhébb súlyú befejezett bűncselekményt valósít meg”, a bemutatott példákon keresztül a válasz az, hogy nem, hiszen nem valósul meg halmazat, hanem a kísérleti szakaszban rekedt súlyosabb bűncselekmény kísérlete konszumálja az enyhébb súlyú befejezett bűncselekményt. 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3096178">
    <w:multiLevelType w:val="hybridMultilevel"/>
    <w:lvl w:ilvl="0" w:tplc="4933129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3096178">
    <w:abstractNumId w:val="5309617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2415775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