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FERENCZ </w:t>
            </w:r>
          </w:p>
          <w:p w:rsidR="00C275A3" w:rsidRDefault="00A96AEC" w:rsidP="00C275A3">
            <w:pPr>
              <w:pStyle w:val="Hallgatokepzes"/>
            </w:pPr>
            <w:r>
              <w:t>Administrative Law Enforcement Management - Specialization Customs Policing</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Lilla Zsitnyánszky</w:t>
            </w:r>
          </w:p>
          <w:p w:rsidR="00DB4822" w:rsidRDefault="00DB4822" w:rsidP="00E11062">
            <w:pPr>
              <w:pStyle w:val="Konzulensek"/>
            </w:pPr>
            <w:r w:rsidRPr="00DB4822">
              <w:t>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customs tariff codes as product identifiers in certain Hungarian legal provisions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discusses the differences concerning product classification in the various sections of the Hungarian legal provisions. However, differences from the aspect of tariff do not necessarily mean opposing the Combined Nomenclature. They mainly apply to the applied tariff time status and I also examined other classification problems.</w:t>
      </w:r>
      <w:r>
        <w:rPr>
          <w:color w:val="000000"/>
          <w:sz w:val="24"/>
          <w:szCs w:val="24"/>
        </w:rPr>
        <w:br/>
        <w:t xml:space="preserve">Following a general overview, the first chapter gives a detailed discussion, because the range of issues related to the specific product mentioned there is the widest. This section, which was given a greater emphasis, is about vehicles, specifically about the main categories of vehicles presented and compared. It also includes the ruling of the European Court of Justice, which also emphasises the importance of goods classification with regard to the ranges of products discussed.</w:t>
      </w:r>
      <w:r>
        <w:rPr>
          <w:color w:val="000000"/>
          <w:sz w:val="24"/>
          <w:szCs w:val="24"/>
        </w:rPr>
        <w:br/>
        <w:t xml:space="preserve">Further on, the paper looks into other topical issues that raise questions about goods classification. Thus, it includes the problems related to the classification of mineral oil products manifested in the Excise Act and, related to it, the Hungarian regulations on spare parts, which are in contradiction with tariff rules. In order to be able to illustrate it more efficiently, I divided this section into two parts. Firstly, spare parts functioning as medical equipment are presented. Then I focussed on a goods classification mistake made by the definition of two particular tariff numbers. The website of the National Tax and Customs Administration helped me with the solution of this problem. I also touched upon the Act on Public Health Product Tax and the regulation on metal trade, as the state is actively involved in the coordination of the products subject to these rules. Among the products regulated by the above mentioned act sugar, flavoured beer and syrup are emphasised. This taxonomy also reflects a kind of a system. The paper follows the logic of proceeding from minor problems to the largest difficulties in goods classification.</w:t>
      </w:r>
      <w:r>
        <w:rPr>
          <w:color w:val="000000"/>
          <w:sz w:val="24"/>
          <w:szCs w:val="24"/>
        </w:rPr>
        <w:br/>
        <w:t xml:space="preserve">Finally, considering the date of the Conference, I also included the regulation on pharmaceutical products as an issue of special interest. I used photos to illustrate the topics I elaborated on.</w:t>
      </w:r>
      <w:r>
        <w:rPr>
          <w:color w:val="000000"/>
          <w:sz w:val="24"/>
          <w:szCs w:val="24"/>
        </w:rPr>
        <w:br/>
        <w:t xml:space="preserve">The summary includes a current event announced after I concluded working on the essay, related to its subject matter and supporting the wide-ranging research.</w:t>
      </w:r>
      <w:r>
        <w:rPr>
          <w:color w:val="000000"/>
          <w:sz w:val="24"/>
          <w:szCs w:val="24"/>
        </w:rPr>
        <w:br/>
        <w:t xml:space="preserve">The paper for the Students’ Scholarly Circle was conducted with due attention, it is based on thorough research, existing legal provisions and other factual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81427">
    <w:multiLevelType w:val="hybridMultilevel"/>
    <w:lvl w:ilvl="0" w:tplc="52075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81427">
    <w:abstractNumId w:val="40881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7446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